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jc w:val="center"/>
        <w:textAlignment w:val="auto"/>
        <w:rPr>
          <w:rFonts w:ascii="宋体" w:hAnsi="宋体" w:cs="宋体"/>
          <w:b/>
          <w:bCs/>
          <w:sz w:val="44"/>
          <w:szCs w:val="44"/>
        </w:rPr>
      </w:pPr>
    </w:p>
    <w:p>
      <w:pPr>
        <w:keepNext w:val="0"/>
        <w:keepLines w:val="0"/>
        <w:pageBreakBefore w:val="0"/>
        <w:kinsoku/>
        <w:wordWrap/>
        <w:overflowPunct/>
        <w:topLinePunct w:val="0"/>
        <w:bidi w:val="0"/>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宋体" w:hAnsi="宋体" w:cs="宋体"/>
          <w:b/>
          <w:bCs/>
          <w:sz w:val="44"/>
          <w:szCs w:val="44"/>
        </w:rPr>
        <w:t>关于《郑州市文物博物馆事业发展“十四五”规划》起草说明</w:t>
      </w:r>
    </w:p>
    <w:p>
      <w:pPr>
        <w:keepNext w:val="0"/>
        <w:keepLines w:val="0"/>
        <w:pageBreakBefore w:val="0"/>
        <w:kinsoku/>
        <w:wordWrap/>
        <w:overflowPunct/>
        <w:topLinePunct w:val="0"/>
        <w:bidi w:val="0"/>
        <w:snapToGrid/>
        <w:spacing w:line="560" w:lineRule="exact"/>
        <w:jc w:val="center"/>
        <w:textAlignment w:val="auto"/>
        <w:rPr>
          <w:rFonts w:ascii="楷体" w:hAnsi="楷体" w:eastAsia="楷体" w:cs="楷体"/>
          <w:szCs w:val="32"/>
        </w:rPr>
      </w:pPr>
      <w:bookmarkStart w:id="0" w:name="_GoBack"/>
      <w:bookmarkEnd w:id="0"/>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现将《郑州市文物博物馆事业发展“十四五”规划》起草情况汇报如下：</w:t>
      </w:r>
    </w:p>
    <w:p>
      <w:pPr>
        <w:keepNext w:val="0"/>
        <w:keepLines w:val="0"/>
        <w:pageBreakBefore w:val="0"/>
        <w:numPr>
          <w:ilvl w:val="0"/>
          <w:numId w:val="1"/>
        </w:numPr>
        <w:kinsoku/>
        <w:wordWrap/>
        <w:overflowPunct/>
        <w:topLinePunct w:val="0"/>
        <w:bidi w:val="0"/>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szCs w:val="32"/>
        </w:rPr>
        <w:t>起草背景</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“十四五”时期，是我国全面建成小康社会、实现第一个百年奋斗目标之后，乘势而上全面向第二个百年奋斗目标进军的第一个五年。2022</w:t>
      </w:r>
      <w:r>
        <w:rPr>
          <w:rFonts w:hint="eastAsia" w:ascii="仿宋_GB2312" w:hAnsi="仿宋_GB2312" w:eastAsia="仿宋_GB2312" w:cs="仿宋_GB2312"/>
          <w:color w:val="000000"/>
          <w:sz w:val="32"/>
          <w:szCs w:val="32"/>
          <w:lang w:val="en"/>
        </w:rPr>
        <w:t>年</w:t>
      </w:r>
      <w:r>
        <w:rPr>
          <w:rFonts w:hint="eastAsia"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lang w:val="en"/>
        </w:rPr>
        <w:t>月</w:t>
      </w:r>
      <w:r>
        <w:rPr>
          <w:rFonts w:hint="eastAsia"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lang w:val="en"/>
        </w:rPr>
        <w:t>日召开的全国文物工作会议，提出坚持“保护第一、加强管理、挖掘价值、有效利用，让文物活起来”的文物工作方针，对文物活化利用和服务社会能力提出了更新更高要求。</w:t>
      </w:r>
      <w:r>
        <w:rPr>
          <w:rFonts w:hint="eastAsia" w:ascii="仿宋_GB2312" w:hAnsi="仿宋_GB2312" w:eastAsia="仿宋_GB2312" w:cs="仿宋_GB2312"/>
          <w:color w:val="000000"/>
          <w:sz w:val="32"/>
          <w:szCs w:val="32"/>
        </w:rPr>
        <w:t>面对新形势、新要求，贯彻新发展理念，融入新发展格局，我们必须坚持以习近平总书记关于文物保护工作系列讲话精神和重要论述为指引，进一步深入贯彻党和国家《关于学习贯彻习近平总书记重要讲话精神全面加强历史文化遗产保护的通知》《关于加强文物保护利用改革的若干意见》《关于让文物活起来扩大中华文</w:t>
      </w:r>
      <w:r>
        <w:rPr>
          <w:rFonts w:hint="eastAsia" w:ascii="仿宋_GB2312" w:hAnsi="仿宋_GB2312" w:eastAsia="仿宋_GB2312" w:cs="仿宋_GB2312"/>
          <w:sz w:val="32"/>
          <w:szCs w:val="32"/>
        </w:rPr>
        <w:t>化国际影响力的实施意见》《“十四五”文物保护和科技创新规划》《“十四五”文化发展规划》，落实</w:t>
      </w:r>
      <w:r>
        <w:rPr>
          <w:rFonts w:hint="eastAsia" w:ascii="仿宋_GB2312" w:hAnsi="仿宋_GB2312" w:eastAsia="仿宋_GB2312" w:cs="仿宋_GB2312"/>
          <w:color w:val="000000"/>
          <w:sz w:val="32"/>
          <w:szCs w:val="32"/>
        </w:rPr>
        <w:t>《河南省文物博物馆事业发展“十四五”规划》《河南省加强文物保护利用改革实施方案》，坚持“</w:t>
      </w:r>
      <w:r>
        <w:rPr>
          <w:rFonts w:hint="eastAsia" w:ascii="仿宋_GB2312" w:hAnsi="仿宋_GB2312" w:eastAsia="仿宋_GB2312" w:cs="仿宋_GB2312"/>
          <w:color w:val="000000"/>
          <w:sz w:val="32"/>
          <w:szCs w:val="32"/>
          <w:lang w:val="en"/>
        </w:rPr>
        <w:t>保护第一、加强管理、挖掘价值、有效利用，让文物活起来</w:t>
      </w:r>
      <w:r>
        <w:rPr>
          <w:rFonts w:hint="eastAsia" w:ascii="仿宋_GB2312" w:hAnsi="仿宋_GB2312" w:eastAsia="仿宋_GB2312" w:cs="仿宋_GB2312"/>
          <w:color w:val="000000"/>
          <w:sz w:val="32"/>
          <w:szCs w:val="32"/>
        </w:rPr>
        <w:t>”的文物工作方针，强化服务人民的文物保护理念，做好文物系统灾后修复重建，促进防灾抗灾减灾能力提升，深入挖掘阐释文物历史内涵和时代价值，加快文物博物馆事业发展，进一步改革创新促进文物“活”起来，为建设中国特色、中国风格、中国气派的考古学和文明研究学科体系、学术体系、话语体系，展示好中华文明风采和对人类文明进步作出的重大贡献，增强历史自觉，坚定文化自信，扩大中华文化国际影响力贡献</w:t>
      </w:r>
      <w:r>
        <w:rPr>
          <w:rFonts w:hint="eastAsia" w:ascii="仿宋_GB2312" w:hAnsi="仿宋_GB2312" w:eastAsia="仿宋_GB2312" w:cs="仿宋_GB2312"/>
          <w:color w:val="000000"/>
          <w:sz w:val="32"/>
          <w:szCs w:val="32"/>
          <w:lang w:val="en"/>
        </w:rPr>
        <w:t>更多更新更有力的</w:t>
      </w:r>
      <w:r>
        <w:rPr>
          <w:rFonts w:hint="eastAsia" w:ascii="仿宋_GB2312" w:hAnsi="仿宋_GB2312" w:eastAsia="仿宋_GB2312" w:cs="仿宋_GB2312"/>
          <w:color w:val="000000"/>
          <w:sz w:val="32"/>
          <w:szCs w:val="32"/>
        </w:rPr>
        <w:t>郑州力量。</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法律依据</w:t>
      </w:r>
    </w:p>
    <w:p>
      <w:pPr>
        <w:pStyle w:val="2"/>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
        </w:rPr>
        <w:t>1</w:t>
      </w:r>
      <w:r>
        <w:rPr>
          <w:rFonts w:hint="eastAsia" w:hAnsi="仿宋_GB2312" w:cs="仿宋_GB2312"/>
          <w:color w:val="000000"/>
          <w:sz w:val="32"/>
          <w:szCs w:val="32"/>
          <w:lang w:val="en" w:eastAsia="zh-CN"/>
        </w:rPr>
        <w:t>.</w:t>
      </w:r>
      <w:r>
        <w:rPr>
          <w:rFonts w:hint="eastAsia" w:ascii="仿宋_GB2312" w:hAnsi="仿宋_GB2312" w:eastAsia="仿宋_GB2312" w:cs="仿宋_GB2312"/>
          <w:color w:val="000000"/>
          <w:sz w:val="32"/>
          <w:szCs w:val="32"/>
          <w:lang w:val="en" w:eastAsia="zh-CN"/>
        </w:rPr>
        <w:t>中共中央宣传部、文化和旅游部、国家文物局</w:t>
      </w:r>
      <w:r>
        <w:rPr>
          <w:rFonts w:hint="eastAsia"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《关于学习贯彻习近平总书记重要讲话精神全面加强历史文化遗产保护的通知》</w:t>
      </w:r>
      <w:r>
        <w:rPr>
          <w:rFonts w:hint="eastAsia" w:ascii="仿宋_GB2312" w:hAnsi="仿宋_GB2312" w:eastAsia="仿宋_GB2312" w:cs="仿宋_GB2312"/>
          <w:sz w:val="32"/>
          <w:szCs w:val="32"/>
          <w:lang w:val="en-US" w:eastAsia="zh-CN"/>
        </w:rPr>
        <w:t xml:space="preserve"> </w:t>
      </w:r>
    </w:p>
    <w:p>
      <w:pPr>
        <w:pStyle w:val="2"/>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中共中央办公厅</w:t>
      </w:r>
      <w:r>
        <w:rPr>
          <w:rFonts w:hint="eastAsia" w:hAnsi="仿宋_GB2312" w:cs="仿宋_GB2312"/>
          <w:sz w:val="32"/>
          <w:szCs w:val="32"/>
          <w:lang w:eastAsia="zh-CN"/>
        </w:rPr>
        <w:t>、</w:t>
      </w:r>
      <w:r>
        <w:rPr>
          <w:rFonts w:hint="eastAsia" w:ascii="仿宋_GB2312" w:hAnsi="仿宋_GB2312" w:eastAsia="仿宋_GB2312" w:cs="仿宋_GB2312"/>
          <w:sz w:val="32"/>
          <w:szCs w:val="32"/>
        </w:rPr>
        <w:t>国务院办公厅《关于加强文物保护利用改革的若干意见》</w:t>
      </w:r>
    </w:p>
    <w:p>
      <w:pPr>
        <w:pStyle w:val="2"/>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中共中央全面深化改革委员会</w:t>
      </w:r>
      <w:r>
        <w:rPr>
          <w:rFonts w:hint="eastAsia" w:ascii="仿宋_GB2312" w:hAnsi="仿宋_GB2312" w:eastAsia="仿宋_GB2312" w:cs="仿宋_GB2312"/>
          <w:color w:val="000000"/>
          <w:sz w:val="32"/>
          <w:szCs w:val="32"/>
        </w:rPr>
        <w:t>《关于让文物活起来扩大中华文</w:t>
      </w:r>
      <w:r>
        <w:rPr>
          <w:rFonts w:hint="eastAsia" w:ascii="仿宋_GB2312" w:hAnsi="仿宋_GB2312" w:eastAsia="仿宋_GB2312" w:cs="仿宋_GB2312"/>
          <w:sz w:val="32"/>
          <w:szCs w:val="32"/>
        </w:rPr>
        <w:t>化国际影响力的实施意见》</w:t>
      </w:r>
    </w:p>
    <w:p>
      <w:pPr>
        <w:pStyle w:val="2"/>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hAnsi="仿宋_GB2312" w:cs="仿宋_GB2312"/>
          <w:sz w:val="32"/>
          <w:szCs w:val="32"/>
          <w:lang w:val="en-US" w:eastAsia="zh-CN"/>
        </w:rPr>
        <w:t>4.</w:t>
      </w:r>
      <w:r>
        <w:rPr>
          <w:rFonts w:hint="eastAsia" w:ascii="仿宋_GB2312" w:hAnsi="仿宋_GB2312" w:eastAsia="仿宋_GB2312" w:cs="仿宋_GB2312"/>
          <w:sz w:val="32"/>
          <w:szCs w:val="32"/>
          <w:lang w:val="en-US" w:eastAsia="zh-CN"/>
        </w:rPr>
        <w:t>中共中央办公厅</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val="en-US" w:eastAsia="zh-CN"/>
        </w:rPr>
        <w:t>国务院办公厅</w:t>
      </w:r>
      <w:r>
        <w:rPr>
          <w:rFonts w:hint="eastAsia" w:ascii="仿宋_GB2312" w:hAnsi="仿宋_GB2312" w:eastAsia="仿宋_GB2312" w:cs="仿宋_GB2312"/>
          <w:sz w:val="32"/>
          <w:szCs w:val="32"/>
        </w:rPr>
        <w:t>《“十四五”文化发展规划》</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国务院</w:t>
      </w:r>
      <w:r>
        <w:rPr>
          <w:rFonts w:hint="eastAsia" w:ascii="仿宋_GB2312" w:hAnsi="仿宋_GB2312" w:eastAsia="仿宋_GB2312" w:cs="仿宋_GB2312"/>
          <w:sz w:val="32"/>
          <w:szCs w:val="32"/>
          <w:lang w:eastAsia="zh-CN"/>
        </w:rPr>
        <w:t>办公厅</w:t>
      </w:r>
      <w:r>
        <w:rPr>
          <w:rFonts w:hint="eastAsia" w:ascii="仿宋_GB2312" w:hAnsi="仿宋_GB2312" w:eastAsia="仿宋_GB2312" w:cs="仿宋_GB2312"/>
          <w:sz w:val="32"/>
          <w:szCs w:val="32"/>
        </w:rPr>
        <w:t>《“十四五”文物保护和科技创新规划》</w:t>
      </w:r>
    </w:p>
    <w:p>
      <w:pPr>
        <w:pStyle w:val="2"/>
        <w:keepNext w:val="0"/>
        <w:keepLines w:val="0"/>
        <w:pageBreakBefore w:val="0"/>
        <w:kinsoku/>
        <w:wordWrap/>
        <w:overflowPunct/>
        <w:topLinePunct w:val="0"/>
        <w:bidi w:val="0"/>
        <w:snapToGrid/>
        <w:spacing w:line="560" w:lineRule="exact"/>
        <w:ind w:firstLine="640"/>
        <w:jc w:val="both"/>
        <w:textAlignment w:val="auto"/>
        <w:rPr>
          <w:rFonts w:hint="eastAsia" w:ascii="仿宋_GB2312" w:hAnsi="仿宋_GB2312" w:eastAsia="仿宋_GB2312" w:cs="仿宋_GB2312"/>
          <w:sz w:val="32"/>
          <w:szCs w:val="32"/>
        </w:rPr>
      </w:pPr>
      <w:r>
        <w:rPr>
          <w:rFonts w:hint="eastAsia" w:hAnsi="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河南省人民政府</w:t>
      </w:r>
      <w:r>
        <w:rPr>
          <w:rFonts w:hint="eastAsia" w:ascii="仿宋_GB2312" w:hAnsi="仿宋_GB2312" w:eastAsia="仿宋_GB2312" w:cs="仿宋_GB2312"/>
          <w:sz w:val="32"/>
          <w:szCs w:val="32"/>
        </w:rPr>
        <w:t>办公厅《</w:t>
      </w:r>
      <w:r>
        <w:rPr>
          <w:rFonts w:hint="eastAsia" w:ascii="仿宋_GB2312" w:hAnsi="仿宋_GB2312" w:eastAsia="仿宋_GB2312" w:cs="仿宋_GB2312"/>
          <w:color w:val="auto"/>
          <w:sz w:val="32"/>
          <w:szCs w:val="32"/>
        </w:rPr>
        <w:t>河南省加强文物保护利用改革实施方案</w:t>
      </w:r>
      <w:r>
        <w:rPr>
          <w:rFonts w:hint="eastAsia" w:ascii="仿宋_GB2312" w:hAnsi="仿宋_GB2312" w:eastAsia="仿宋_GB2312" w:cs="仿宋_GB2312"/>
          <w:sz w:val="32"/>
          <w:szCs w:val="32"/>
        </w:rPr>
        <w:t>》</w:t>
      </w:r>
    </w:p>
    <w:p>
      <w:pPr>
        <w:pStyle w:val="2"/>
        <w:keepNext w:val="0"/>
        <w:keepLines w:val="0"/>
        <w:pageBreakBefore w:val="0"/>
        <w:kinsoku/>
        <w:wordWrap/>
        <w:overflowPunct/>
        <w:topLinePunct w:val="0"/>
        <w:bidi w:val="0"/>
        <w:snapToGrid/>
        <w:spacing w:line="560" w:lineRule="exact"/>
        <w:ind w:firstLine="640"/>
        <w:jc w:val="both"/>
        <w:textAlignment w:val="auto"/>
        <w:rPr>
          <w:rFonts w:hint="eastAsia" w:ascii="仿宋_GB2312" w:hAnsi="仿宋_GB2312" w:eastAsia="仿宋_GB2312" w:cs="仿宋_GB2312"/>
          <w:sz w:val="32"/>
          <w:szCs w:val="32"/>
        </w:rPr>
      </w:pPr>
      <w:r>
        <w:rPr>
          <w:rFonts w:hint="eastAsia" w:hAnsi="仿宋_GB2312" w:cs="仿宋_GB2312"/>
          <w:kern w:val="0"/>
          <w:sz w:val="32"/>
          <w:szCs w:val="32"/>
          <w:lang w:val="en-US" w:eastAsia="zh-CN" w:bidi="ar"/>
        </w:rPr>
        <w:t>7</w:t>
      </w:r>
      <w:r>
        <w:rPr>
          <w:rFonts w:hint="eastAsia" w:ascii="仿宋_GB2312" w:hAnsi="仿宋_GB2312" w:eastAsia="仿宋_GB2312" w:cs="仿宋_GB2312"/>
          <w:kern w:val="0"/>
          <w:sz w:val="32"/>
          <w:szCs w:val="32"/>
          <w:lang w:val="en-US" w:eastAsia="zh-CN" w:bidi="ar"/>
        </w:rPr>
        <w:t>.河南省文物局《河南省文物博物馆事业发展“十四五”规划》</w:t>
      </w: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szCs w:val="32"/>
        </w:rPr>
      </w:pPr>
      <w:r>
        <w:rPr>
          <w:rFonts w:hint="eastAsia" w:ascii="黑体" w:hAnsi="黑体" w:eastAsia="黑体" w:cs="黑体"/>
          <w:szCs w:val="32"/>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《郑州市文物博物馆事业发展“十四五”规划》主要从</w:t>
      </w:r>
      <w:r>
        <w:rPr>
          <w:rFonts w:hint="eastAsia" w:ascii="仿宋_GB2312" w:hAnsi="仿宋_GB2312" w:eastAsia="仿宋_GB2312" w:cs="仿宋_GB2312"/>
          <w:szCs w:val="32"/>
          <w:lang w:eastAsia="zh-CN"/>
        </w:rPr>
        <w:t>总体目标</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主要任务</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保障措施三个</w:t>
      </w:r>
      <w:r>
        <w:rPr>
          <w:rFonts w:hint="eastAsia" w:ascii="仿宋_GB2312" w:hAnsi="仿宋_GB2312" w:eastAsia="仿宋_GB2312" w:cs="仿宋_GB2312"/>
          <w:szCs w:val="32"/>
        </w:rPr>
        <w:t>方面进行了的阐述，重点在</w:t>
      </w:r>
      <w:r>
        <w:rPr>
          <w:rFonts w:hint="eastAsia" w:ascii="仿宋_GB2312" w:hAnsi="仿宋_GB2312" w:eastAsia="仿宋_GB2312" w:cs="仿宋_GB2312"/>
          <w:szCs w:val="32"/>
          <w:lang w:eastAsia="zh-CN"/>
        </w:rPr>
        <w:t>总体</w:t>
      </w:r>
      <w:r>
        <w:rPr>
          <w:rFonts w:hint="eastAsia" w:ascii="仿宋_GB2312" w:hAnsi="仿宋_GB2312" w:eastAsia="仿宋_GB2312" w:cs="仿宋_GB2312"/>
          <w:szCs w:val="32"/>
        </w:rPr>
        <w:t>目标和主要任务。</w:t>
      </w:r>
    </w:p>
    <w:p>
      <w:pPr>
        <w:keepNext w:val="0"/>
        <w:keepLines w:val="0"/>
        <w:pageBreakBefore w:val="0"/>
        <w:numPr>
          <w:ilvl w:val="0"/>
          <w:numId w:val="2"/>
        </w:numPr>
        <w:kinsoku/>
        <w:wordWrap/>
        <w:overflowPunct/>
        <w:topLinePunct w:val="0"/>
        <w:bidi w:val="0"/>
        <w:snapToGrid/>
        <w:spacing w:line="560" w:lineRule="exact"/>
        <w:ind w:firstLine="640" w:firstLineChars="200"/>
        <w:textAlignment w:val="auto"/>
        <w:rPr>
          <w:rFonts w:hint="eastAsia" w:ascii="楷体" w:hAnsi="楷体" w:eastAsia="楷体"/>
          <w:szCs w:val="32"/>
        </w:rPr>
      </w:pPr>
      <w:r>
        <w:rPr>
          <w:rFonts w:hint="eastAsia" w:ascii="楷体" w:hAnsi="楷体" w:eastAsia="楷体"/>
          <w:szCs w:val="32"/>
        </w:rPr>
        <w:t>总体目标</w:t>
      </w:r>
    </w:p>
    <w:p>
      <w:pPr>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坚持“</w:t>
      </w:r>
      <w:r>
        <w:rPr>
          <w:rFonts w:hint="eastAsia" w:ascii="仿宋_GB2312" w:hAnsi="仿宋_GB2312" w:eastAsia="仿宋_GB2312" w:cs="仿宋_GB2312"/>
          <w:color w:val="000000"/>
          <w:lang w:val="en"/>
        </w:rPr>
        <w:t>保护第一、加强管理、挖掘价值、有效利用，让文物活起来</w:t>
      </w:r>
      <w:r>
        <w:rPr>
          <w:rFonts w:hint="eastAsia" w:ascii="仿宋_GB2312" w:hAnsi="仿宋_GB2312" w:eastAsia="仿宋_GB2312" w:cs="仿宋_GB2312"/>
          <w:color w:val="000000"/>
        </w:rPr>
        <w:t>”文物工作方针，深入贯彻落实党和国家战略指引，按照省委省政府和市委市政府工作部署，以</w:t>
      </w:r>
      <w:r>
        <w:rPr>
          <w:rFonts w:hint="eastAsia" w:ascii="仿宋_GB2312" w:hAnsi="仿宋_GB2312" w:eastAsia="仿宋_GB2312" w:cs="仿宋_GB2312"/>
          <w:color w:val="000000"/>
          <w:lang w:val="en"/>
        </w:rPr>
        <w:t>省会</w:t>
      </w:r>
      <w:r>
        <w:rPr>
          <w:rFonts w:hint="eastAsia" w:ascii="仿宋_GB2312" w:hAnsi="仿宋_GB2312" w:eastAsia="仿宋_GB2312" w:cs="仿宋_GB2312"/>
          <w:color w:val="000000"/>
        </w:rPr>
        <w:t>郑州为中心，</w:t>
      </w:r>
      <w:r>
        <w:rPr>
          <w:rFonts w:hint="eastAsia" w:ascii="仿宋_GB2312" w:hAnsi="仿宋_GB2312" w:eastAsia="仿宋_GB2312" w:cs="仿宋_GB2312"/>
          <w:color w:val="000000"/>
          <w:lang w:val="en"/>
        </w:rPr>
        <w:t>以</w:t>
      </w:r>
      <w:r>
        <w:rPr>
          <w:rFonts w:hint="eastAsia" w:ascii="仿宋_GB2312" w:hAnsi="仿宋_GB2312" w:eastAsia="仿宋_GB2312" w:cs="仿宋_GB2312"/>
          <w:color w:val="000000"/>
        </w:rPr>
        <w:t>“行走河南·读懂中国”</w:t>
      </w:r>
      <w:r>
        <w:rPr>
          <w:rFonts w:hint="eastAsia" w:ascii="仿宋_GB2312" w:hAnsi="仿宋_GB2312" w:eastAsia="仿宋_GB2312" w:cs="仿宋_GB2312"/>
          <w:color w:val="000000"/>
          <w:lang w:val="en"/>
        </w:rPr>
        <w:t>为主题，打造</w:t>
      </w:r>
      <w:r>
        <w:rPr>
          <w:rFonts w:hint="eastAsia" w:ascii="仿宋_GB2312" w:hAnsi="仿宋_GB2312" w:eastAsia="仿宋_GB2312" w:cs="仿宋_GB2312"/>
          <w:color w:val="000000"/>
        </w:rPr>
        <w:t>中华文明全景式集中展示地，持续推进博物馆群和中华文明主题乐园建设。联动黄河流域及历史流经地区，建设黄河历史文化主地标城市，打造集“早期中国”展示、黄河文化发展主干展示、大河文明国际交往为一体的黄河国家文化公园示范区，建设炎黄子孙的寻根之地、中华文化的朝圣之地、中华文明的体验之地、华夏国学的教育之地。</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2.</w:t>
      </w:r>
      <w:r>
        <w:rPr>
          <w:rFonts w:hint="eastAsia" w:ascii="楷体" w:hAnsi="楷体" w:eastAsia="楷体" w:cs="楷体"/>
          <w:sz w:val="32"/>
          <w:szCs w:val="32"/>
          <w:lang w:eastAsia="zh-CN"/>
        </w:rPr>
        <w:t>七</w:t>
      </w:r>
      <w:r>
        <w:rPr>
          <w:rFonts w:hint="eastAsia" w:ascii="楷体" w:hAnsi="楷体" w:eastAsia="楷体" w:cs="楷体"/>
          <w:sz w:val="32"/>
          <w:szCs w:val="32"/>
        </w:rPr>
        <w:t>大主要任务</w:t>
      </w:r>
    </w:p>
    <w:p>
      <w:pPr>
        <w:pStyle w:val="4"/>
        <w:pageBreakBefore w:val="0"/>
        <w:widowControl w:val="0"/>
        <w:kinsoku/>
        <w:wordWrap/>
        <w:overflowPunct/>
        <w:topLinePunct w:val="0"/>
        <w:bidi w:val="0"/>
        <w:snapToGrid/>
        <w:spacing w:before="0" w:beforeLines="0" w:line="560" w:lineRule="exact"/>
        <w:ind w:firstLine="643"/>
        <w:textAlignment w:val="auto"/>
        <w:rPr>
          <w:rFonts w:hint="eastAsia" w:ascii="仿宋_GB2312" w:hAnsi="仿宋" w:eastAsia="宋体"/>
          <w:szCs w:val="32"/>
          <w:lang w:eastAsia="zh-CN"/>
        </w:rPr>
      </w:pPr>
      <w:r>
        <w:rPr>
          <w:rFonts w:hint="eastAsia" w:ascii="仿宋_GB2312" w:hAnsi="仿宋_GB2312" w:eastAsia="仿宋_GB2312" w:cs="仿宋_GB2312"/>
          <w:b w:val="0"/>
          <w:bCs w:val="0"/>
          <w:szCs w:val="32"/>
        </w:rPr>
        <w:t>（1）全力实施灾后修复，服务社会发展大局</w:t>
      </w:r>
      <w:r>
        <w:rPr>
          <w:rFonts w:hint="eastAsia" w:ascii="仿宋_GB2312" w:hAnsi="仿宋_GB2312" w:eastAsia="仿宋_GB2312" w:cs="仿宋_GB2312"/>
          <w:b w:val="0"/>
          <w:bCs w:val="0"/>
          <w:szCs w:val="32"/>
          <w:lang w:eastAsia="zh-CN"/>
        </w:rPr>
        <w:t>。</w:t>
      </w:r>
      <w:r>
        <w:rPr>
          <w:rFonts w:hint="eastAsia" w:ascii="仿宋_GB2312" w:hAnsi="仿宋_GB2312" w:eastAsia="仿宋_GB2312" w:cs="仿宋_GB2312"/>
          <w:b w:val="0"/>
          <w:bCs w:val="0"/>
          <w:color w:val="000000"/>
        </w:rPr>
        <w:t>高效开展文物灾后修复</w:t>
      </w:r>
      <w:r>
        <w:rPr>
          <w:rFonts w:hint="eastAsia" w:ascii="仿宋_GB2312" w:hAnsi="仿宋_GB2312" w:eastAsia="仿宋_GB2312" w:cs="仿宋_GB2312"/>
          <w:b w:val="0"/>
          <w:bCs w:val="0"/>
          <w:color w:val="000000"/>
          <w:lang w:eastAsia="zh-CN"/>
        </w:rPr>
        <w:t>，</w:t>
      </w:r>
      <w:r>
        <w:rPr>
          <w:rFonts w:hint="eastAsia" w:ascii="仿宋_GB2312" w:hAnsi="仿宋_GB2312" w:eastAsia="仿宋_GB2312" w:cs="仿宋_GB2312"/>
          <w:b w:val="0"/>
          <w:bCs w:val="0"/>
          <w:color w:val="000000"/>
        </w:rPr>
        <w:t>着力提升防灾抗灾能力</w:t>
      </w:r>
      <w:r>
        <w:rPr>
          <w:rFonts w:hint="eastAsia" w:ascii="仿宋_GB2312" w:hAnsi="仿宋_GB2312" w:eastAsia="仿宋_GB2312" w:cs="仿宋_GB2312"/>
          <w:b w:val="0"/>
          <w:bCs w:val="0"/>
          <w:color w:val="000000"/>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Cs w:val="32"/>
          <w:lang w:eastAsia="zh-CN"/>
        </w:rPr>
      </w:pPr>
      <w:r>
        <w:rPr>
          <w:rFonts w:hint="eastAsia" w:ascii="仿宋_GB2312" w:hAnsi="仿宋" w:eastAsia="仿宋_GB2312"/>
          <w:szCs w:val="32"/>
        </w:rPr>
        <w:t>（2）强化考古科研创新能力，助力讲好中华文明故事</w:t>
      </w:r>
      <w:r>
        <w:rPr>
          <w:rFonts w:hint="eastAsia" w:ascii="仿宋_GB2312" w:hAnsi="仿宋" w:eastAsia="仿宋_GB2312"/>
          <w:szCs w:val="32"/>
          <w:lang w:eastAsia="zh-CN"/>
        </w:rPr>
        <w:t>。打造中国特色一流考古体系，创建示范性科技考古支撑体系，培育国家级联合科研攻关体系，深化国家级战略专题专项研究。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Cs w:val="32"/>
          <w:lang w:eastAsia="zh-CN"/>
        </w:rPr>
      </w:pPr>
      <w:r>
        <w:rPr>
          <w:rFonts w:hint="eastAsia" w:ascii="仿宋_GB2312" w:hAnsi="仿宋" w:eastAsia="仿宋_GB2312"/>
          <w:szCs w:val="32"/>
        </w:rPr>
        <w:t>（3）创新全域保护传承体系，打造中华文明全景式展示地</w:t>
      </w:r>
      <w:r>
        <w:rPr>
          <w:rFonts w:hint="eastAsia" w:ascii="仿宋_GB2312" w:hAnsi="仿宋" w:eastAsia="仿宋_GB2312"/>
          <w:szCs w:val="32"/>
          <w:lang w:eastAsia="zh-CN"/>
        </w:rPr>
        <w:t>。建设中华文明全景式集中展示地，建设黄河历史文化主地标城市，实施全域保护利用模式探索，壮大国家考古遗址公园体系，深化实施文物保护信息化工程。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Cs w:val="32"/>
          <w:lang w:eastAsia="zh-CN"/>
        </w:rPr>
      </w:pPr>
      <w:r>
        <w:rPr>
          <w:rFonts w:hint="eastAsia" w:ascii="仿宋_GB2312" w:hAnsi="仿宋" w:eastAsia="仿宋_GB2312"/>
          <w:szCs w:val="32"/>
        </w:rPr>
        <w:t>（4）强化文化传承弘扬体系，展示中华文明风采</w:t>
      </w:r>
      <w:r>
        <w:rPr>
          <w:rFonts w:hint="eastAsia" w:ascii="仿宋_GB2312" w:hAnsi="仿宋" w:eastAsia="仿宋_GB2312"/>
          <w:szCs w:val="32"/>
          <w:lang w:eastAsia="zh-CN"/>
        </w:rPr>
        <w:t>。拓展郑州历史文化传播途径，树立“早期中国”文化品牌，打造郑州文创品牌矩阵，创新文物资源研学教育模式。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Cs w:val="32"/>
          <w:lang w:eastAsia="zh-CN"/>
        </w:rPr>
      </w:pPr>
      <w:r>
        <w:rPr>
          <w:rFonts w:hint="eastAsia" w:ascii="仿宋_GB2312" w:hAnsi="仿宋" w:eastAsia="仿宋_GB2312"/>
          <w:szCs w:val="32"/>
        </w:rPr>
        <w:t>（5）健全博物馆体系，打造博物馆之城</w:t>
      </w:r>
      <w:r>
        <w:rPr>
          <w:rFonts w:hint="eastAsia" w:ascii="仿宋_GB2312" w:hAnsi="仿宋" w:eastAsia="仿宋_GB2312"/>
          <w:szCs w:val="32"/>
          <w:lang w:eastAsia="zh-CN"/>
        </w:rPr>
        <w:t>。强化国有博物馆主力军作用，激发非国有博物馆发展潜力，加强馆藏可移动文物保护管理，加快建设博物馆智慧化体系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Cs w:val="32"/>
          <w:lang w:eastAsia="zh-CN"/>
        </w:rPr>
      </w:pPr>
      <w:r>
        <w:rPr>
          <w:rFonts w:hint="eastAsia" w:ascii="仿宋_GB2312" w:hAnsi="仿宋" w:eastAsia="仿宋_GB2312"/>
          <w:szCs w:val="32"/>
        </w:rPr>
        <w:t>（6）加强革命文物保护利用，赓续红色血脉</w:t>
      </w:r>
      <w:r>
        <w:rPr>
          <w:rFonts w:hint="eastAsia" w:ascii="仿宋_GB2312" w:hAnsi="仿宋" w:eastAsia="仿宋_GB2312"/>
          <w:szCs w:val="32"/>
          <w:lang w:eastAsia="zh-CN"/>
        </w:rPr>
        <w:t>。夯实革命文物保护基础，加大革命文物保护力度，拓展革命文物展示利用途径。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Cs w:val="32"/>
          <w:lang w:eastAsia="zh-CN"/>
        </w:rPr>
      </w:pPr>
      <w:r>
        <w:rPr>
          <w:rFonts w:hint="eastAsia" w:ascii="仿宋_GB2312" w:hAnsi="仿宋" w:eastAsia="仿宋_GB2312"/>
          <w:szCs w:val="32"/>
        </w:rPr>
        <w:t>（7）坚守文物安全底线，强化文物资源管理</w:t>
      </w:r>
      <w:r>
        <w:rPr>
          <w:rFonts w:hint="eastAsia" w:ascii="仿宋_GB2312" w:hAnsi="仿宋" w:eastAsia="仿宋_GB2312"/>
          <w:szCs w:val="32"/>
          <w:lang w:eastAsia="zh-CN"/>
        </w:rPr>
        <w:t>。健全文物资源管理机制，夯实文物安全工作基础，健全文物安全长效机制。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000000"/>
          <w:sz w:val="32"/>
          <w:szCs w:val="32"/>
          <w:lang w:val="en-US" w:eastAsia="zh-CN"/>
        </w:rPr>
      </w:pPr>
      <w:r>
        <w:rPr>
          <w:rFonts w:hint="eastAsia" w:ascii="楷体" w:hAnsi="楷体" w:eastAsia="楷体" w:cs="楷体"/>
          <w:b w:val="0"/>
          <w:bCs/>
          <w:color w:val="000000"/>
          <w:sz w:val="32"/>
          <w:szCs w:val="32"/>
          <w:lang w:val="en-US" w:eastAsia="zh-CN"/>
        </w:rPr>
        <w:t>3.保障措施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政策及制度保障</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建立健全文物保护责任制度和政策体系</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构建系统、立体、完备的文化政策支撑体系</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加强各级文物保护专项资金管理与使用。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2</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加强法制建设</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严格执行《中华人民共和国文物保护法》等法律法规，落实《长城保护条例》，加强文物领域法律与其他法律衔接，制定相关文物保护地方性法规。增强文物行政管理人员的依法行政能力</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加强文物法治宣传教育。</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3</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强化资金保障</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积极争取国家、省级各类文物保护专项资金，统筹安排市本级文物保护资金，加强资金使用监管，用活文创、研学等方面专项经费。鼓励引入社会资本参与建设和管理，营造社会各界共同参与文物保护利用的良好投资环境。</w:t>
      </w:r>
    </w:p>
    <w:p>
      <w:pPr>
        <w:pStyle w:val="3"/>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lang w:val="en-US" w:eastAsia="zh-CN"/>
        </w:rPr>
      </w:pP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4</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完善人才保障机制</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坚持党管人才原则，形成事业引人、环境留人、平台育人导向</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发挥高层次文博人才引领示范作用。组织实施专业技术人员继续教育，抓好专家选拔推荐、专业技术人才选拔工作。创新和完善事业单位人才选拔任用机制，健全完善事业单位工作人员考核、奖励、培训机制。</w:t>
      </w:r>
    </w:p>
    <w:p>
      <w:pPr>
        <w:keepNext w:val="0"/>
        <w:keepLines w:val="0"/>
        <w:pageBreakBefore w:val="0"/>
        <w:kinsoku/>
        <w:wordWrap/>
        <w:overflowPunct/>
        <w:topLinePunct w:val="0"/>
        <w:bidi w:val="0"/>
        <w:snapToGrid/>
        <w:spacing w:line="560" w:lineRule="exact"/>
        <w:ind w:firstLine="640" w:firstLineChars="200"/>
        <w:textAlignment w:val="auto"/>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95462"/>
    <w:multiLevelType w:val="singleLevel"/>
    <w:tmpl w:val="E7B95462"/>
    <w:lvl w:ilvl="0" w:tentative="0">
      <w:start w:val="1"/>
      <w:numFmt w:val="decimal"/>
      <w:suff w:val="nothing"/>
      <w:lvlText w:val="%1．"/>
      <w:lvlJc w:val="left"/>
    </w:lvl>
  </w:abstractNum>
  <w:abstractNum w:abstractNumId="1">
    <w:nsid w:val="6FFFDE7B"/>
    <w:multiLevelType w:val="singleLevel"/>
    <w:tmpl w:val="6FFFDE7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OGFmOWY1MWE0OGU2NDAzOGIzMWFmZjEwOWEyN2YifQ=="/>
  </w:docVars>
  <w:rsids>
    <w:rsidRoot w:val="00000000"/>
    <w:rsid w:val="196B4429"/>
    <w:rsid w:val="2ED7428F"/>
    <w:rsid w:val="4EDFCEDB"/>
    <w:rsid w:val="535A44A4"/>
    <w:rsid w:val="5DCB65FA"/>
    <w:rsid w:val="5F7B1C7C"/>
    <w:rsid w:val="6DF7FFE5"/>
    <w:rsid w:val="7D559560"/>
    <w:rsid w:val="7EF758DC"/>
    <w:rsid w:val="B7EE9A2C"/>
    <w:rsid w:val="DFF353CE"/>
    <w:rsid w:val="ECB921F5"/>
    <w:rsid w:val="EF7F480F"/>
    <w:rsid w:val="F3FEB7E3"/>
    <w:rsid w:val="FDAFFEBE"/>
    <w:rsid w:val="FEEBD415"/>
    <w:rsid w:val="FFF196E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0"/>
      <w:lang w:val="en-US" w:eastAsia="zh-CN" w:bidi="ar-SA"/>
    </w:rPr>
  </w:style>
  <w:style w:type="paragraph" w:styleId="3">
    <w:name w:val="heading 2"/>
    <w:basedOn w:val="1"/>
    <w:next w:val="1"/>
    <w:semiHidden/>
    <w:unhideWhenUsed/>
    <w:qFormat/>
    <w:uiPriority w:val="9"/>
    <w:pPr>
      <w:keepNext/>
      <w:keepLines/>
      <w:spacing w:line="413" w:lineRule="auto"/>
      <w:outlineLvl w:val="1"/>
    </w:pPr>
    <w:rPr>
      <w:rFonts w:ascii="DejaVu Sans" w:hAnsi="DejaVu Sans" w:eastAsia="方正黑体_GBK"/>
      <w:b/>
      <w:sz w:val="32"/>
    </w:rPr>
  </w:style>
  <w:style w:type="paragraph" w:styleId="4">
    <w:name w:val="heading 3"/>
    <w:basedOn w:val="1"/>
    <w:next w:val="1"/>
    <w:qFormat/>
    <w:uiPriority w:val="0"/>
    <w:pPr>
      <w:keepNext/>
      <w:keepLines/>
      <w:spacing w:before="50" w:beforeLines="50" w:line="360" w:lineRule="auto"/>
      <w:ind w:firstLine="200" w:firstLineChars="200"/>
      <w:outlineLvl w:val="2"/>
    </w:pPr>
    <w:rPr>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黑体"/>
      <w:color w:val="000000"/>
      <w:sz w:val="24"/>
      <w:szCs w:val="22"/>
      <w:lang w:val="en-US" w:eastAsia="zh-CN" w:bidi="ar-SA"/>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Char"/>
    <w:basedOn w:val="9"/>
    <w:link w:val="7"/>
    <w:qFormat/>
    <w:uiPriority w:val="99"/>
    <w:rPr>
      <w:rFonts w:ascii="Times New Roman" w:hAnsi="Times New Roman" w:eastAsia="宋体" w:cs="Times New Roman"/>
      <w:sz w:val="18"/>
      <w:szCs w:val="18"/>
    </w:rPr>
  </w:style>
  <w:style w:type="character" w:customStyle="1" w:styleId="11">
    <w:name w:val="页脚 Char Char"/>
    <w:basedOn w:val="9"/>
    <w:link w:val="6"/>
    <w:qFormat/>
    <w:uiPriority w:val="99"/>
    <w:rPr>
      <w:rFonts w:ascii="Times New Roman" w:hAnsi="Times New Roman" w:eastAsia="宋体" w:cs="Times New Roman"/>
      <w:sz w:val="18"/>
      <w:szCs w:val="18"/>
    </w:rPr>
  </w:style>
  <w:style w:type="character" w:customStyle="1" w:styleId="12">
    <w:name w:val="批注框文本 Char Char"/>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2131</Words>
  <Characters>2144</Characters>
  <Lines>21</Lines>
  <Paragraphs>5</Paragraphs>
  <TotalTime>0</TotalTime>
  <ScaleCrop>false</ScaleCrop>
  <LinksUpToDate>false</LinksUpToDate>
  <CharactersWithSpaces>2146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2019-08-15T06:42:00Z</dcterms:created>
  <dc:creator>Windows 用户</dc:creator>
  <cp:lastModifiedBy>pp</cp:lastModifiedBy>
  <cp:lastPrinted>2019-07-31T10:43:00Z</cp:lastPrinted>
  <dcterms:modified xsi:type="dcterms:W3CDTF">2022-08-31T09:32:17Z</dcterms:modified>
  <dc:title>关于《郑州教育现代化2035》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C71A3E3156F2447FB24CBE90F8963CAB</vt:lpwstr>
  </property>
</Properties>
</file>