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《郑州市文物收藏单位活化利用工作方案》起草说明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Arial"/>
          <w:sz w:val="32"/>
          <w:szCs w:val="32"/>
        </w:rPr>
      </w:pPr>
      <w:r>
        <w:rPr>
          <w:rFonts w:hint="eastAsia" w:ascii="楷体" w:hAnsi="楷体" w:eastAsia="楷体" w:cs="Arial"/>
          <w:sz w:val="32"/>
          <w:szCs w:val="32"/>
        </w:rPr>
        <w:t>郑州市文物局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为贯彻落实习近平总书记关于让文物“活”起来的重要指示批示精神，合理利用郑州市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文物收藏单位各类文物资源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，促进文物活化利用，推进全市文旅文创融合战略和经济社会发展，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特起草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本方案。</w:t>
      </w:r>
    </w:p>
    <w:p>
      <w:pPr>
        <w:spacing w:line="560" w:lineRule="exact"/>
        <w:ind w:firstLine="645"/>
        <w:rPr>
          <w:rFonts w:hint="eastAsia" w:ascii="仿宋" w:hAnsi="仿宋" w:eastAsia="仿宋" w:cs="楷体"/>
          <w:kern w:val="0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宋体" w:eastAsia="黑体" w:cs="仿宋_GB2312"/>
          <w:sz w:val="32"/>
          <w:szCs w:val="32"/>
        </w:rPr>
        <w:t>、调研</w:t>
      </w:r>
      <w:r>
        <w:rPr>
          <w:rFonts w:hint="default" w:ascii="黑体" w:hAnsi="宋体" w:eastAsia="黑体" w:cs="仿宋_GB2312"/>
          <w:sz w:val="32"/>
          <w:szCs w:val="32"/>
        </w:rPr>
        <w:t>起草</w:t>
      </w:r>
      <w:r>
        <w:rPr>
          <w:rFonts w:hint="eastAsia" w:ascii="黑体" w:hAnsi="宋体" w:eastAsia="黑体" w:cs="仿宋_GB2312"/>
          <w:sz w:val="32"/>
          <w:szCs w:val="32"/>
        </w:rPr>
        <w:t>过程</w:t>
      </w:r>
    </w:p>
    <w:p>
      <w:pPr>
        <w:spacing w:line="560" w:lineRule="exact"/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市文物局高度重视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《郑州市文物收藏单位活化利用工作方案》</w:t>
      </w:r>
      <w:r>
        <w:rPr>
          <w:rFonts w:hint="eastAsia" w:ascii="仿宋" w:hAnsi="仿宋" w:eastAsia="仿宋" w:cs="仿宋_GB2312"/>
          <w:sz w:val="32"/>
          <w:szCs w:val="32"/>
        </w:rPr>
        <w:t>的起草工作，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郑州市文物收藏单位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运营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项目及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活化利用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实际情况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调研，</w:t>
      </w:r>
      <w:r>
        <w:rPr>
          <w:rFonts w:hint="default" w:ascii="仿宋" w:hAnsi="仿宋" w:eastAsia="仿宋" w:cs="仿宋_GB2312"/>
          <w:sz w:val="32"/>
          <w:szCs w:val="32"/>
        </w:rPr>
        <w:t>到成都</w:t>
      </w:r>
      <w:r>
        <w:rPr>
          <w:rFonts w:hint="eastAsia" w:ascii="仿宋" w:hAnsi="仿宋" w:eastAsia="仿宋" w:cs="仿宋_GB2312"/>
          <w:sz w:val="32"/>
          <w:szCs w:val="32"/>
        </w:rPr>
        <w:t>、西安、</w:t>
      </w:r>
      <w:r>
        <w:rPr>
          <w:rFonts w:hint="default" w:ascii="仿宋" w:hAnsi="仿宋" w:eastAsia="仿宋" w:cs="仿宋_GB2312"/>
          <w:sz w:val="32"/>
          <w:szCs w:val="32"/>
        </w:rPr>
        <w:t>长沙</w:t>
      </w:r>
      <w:r>
        <w:rPr>
          <w:rFonts w:hint="eastAsia" w:ascii="仿宋" w:hAnsi="仿宋" w:eastAsia="仿宋" w:cs="仿宋_GB2312"/>
          <w:sz w:val="32"/>
          <w:szCs w:val="32"/>
        </w:rPr>
        <w:t>等城市</w:t>
      </w:r>
      <w:r>
        <w:rPr>
          <w:rFonts w:hint="default" w:ascii="仿宋" w:hAnsi="仿宋" w:eastAsia="仿宋" w:cs="仿宋_GB2312"/>
          <w:sz w:val="32"/>
          <w:szCs w:val="32"/>
        </w:rPr>
        <w:t>实地考察</w:t>
      </w:r>
      <w:r>
        <w:rPr>
          <w:rFonts w:hint="eastAsia" w:ascii="仿宋" w:hAnsi="仿宋" w:eastAsia="仿宋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参考借鉴国内先进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文物收藏单位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多元化运营项目的典型案例和成功经验，根据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中央宣传部等九部委《关于推进博物馆改革发展的指导意见》（文物博发〔2021〕16号）、文化和旅游部等八部委《关于进一步推动文化文物单位文化创意产品开发的若干措施》（文旅资源发〔2021〕85号）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文件精神，</w:t>
      </w:r>
      <w:r>
        <w:rPr>
          <w:rFonts w:hint="eastAsia" w:ascii="仿宋" w:hAnsi="仿宋" w:eastAsia="仿宋" w:cs="仿宋_GB2312"/>
          <w:sz w:val="32"/>
          <w:szCs w:val="32"/>
        </w:rPr>
        <w:t>起草了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《郑州市文物收藏单位活化利用工作方案》</w:t>
      </w:r>
      <w:r>
        <w:rPr>
          <w:rFonts w:hint="eastAsia" w:ascii="仿宋" w:hAnsi="仿宋" w:eastAsia="仿宋" w:cs="仿宋_GB2312"/>
          <w:sz w:val="32"/>
          <w:szCs w:val="32"/>
        </w:rPr>
        <w:t>草稿。围绕草稿，我们</w:t>
      </w:r>
      <w:r>
        <w:rPr>
          <w:rFonts w:hint="eastAsia" w:ascii="仿宋" w:hAnsi="仿宋" w:eastAsia="仿宋"/>
          <w:sz w:val="32"/>
          <w:szCs w:val="32"/>
        </w:rPr>
        <w:t>多次召开</w:t>
      </w:r>
      <w:r>
        <w:rPr>
          <w:rFonts w:hint="default" w:ascii="仿宋" w:hAnsi="仿宋" w:eastAsia="仿宋"/>
          <w:sz w:val="32"/>
          <w:szCs w:val="32"/>
        </w:rPr>
        <w:t>博物馆馆长</w:t>
      </w:r>
      <w:r>
        <w:rPr>
          <w:rFonts w:hint="eastAsia" w:ascii="仿宋" w:hAnsi="仿宋" w:eastAsia="仿宋"/>
          <w:sz w:val="32"/>
          <w:szCs w:val="32"/>
        </w:rPr>
        <w:t>座谈会，</w:t>
      </w:r>
      <w:r>
        <w:rPr>
          <w:rFonts w:hint="default" w:ascii="仿宋" w:hAnsi="仿宋" w:eastAsia="仿宋"/>
          <w:sz w:val="32"/>
          <w:szCs w:val="32"/>
        </w:rPr>
        <w:t>征询</w:t>
      </w:r>
      <w:r>
        <w:rPr>
          <w:rFonts w:hint="eastAsia" w:ascii="仿宋" w:hAnsi="仿宋" w:eastAsia="仿宋"/>
          <w:sz w:val="32"/>
          <w:szCs w:val="32"/>
        </w:rPr>
        <w:t>市直相关单位的意见</w:t>
      </w:r>
      <w:r>
        <w:rPr>
          <w:rFonts w:hint="default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做出修改完善，市文物局</w:t>
      </w:r>
      <w:r>
        <w:rPr>
          <w:rFonts w:hint="default" w:ascii="仿宋" w:hAnsi="仿宋" w:eastAsia="仿宋"/>
          <w:sz w:val="32"/>
          <w:szCs w:val="32"/>
        </w:rPr>
        <w:t>党组</w:t>
      </w:r>
      <w:r>
        <w:rPr>
          <w:rFonts w:hint="eastAsia" w:ascii="仿宋" w:hAnsi="仿宋" w:eastAsia="仿宋"/>
          <w:sz w:val="32"/>
          <w:szCs w:val="32"/>
        </w:rPr>
        <w:t>还对《</w:t>
      </w:r>
      <w:r>
        <w:rPr>
          <w:rFonts w:hint="default" w:ascii="仿宋" w:hAnsi="仿宋" w:eastAsia="仿宋"/>
          <w:sz w:val="32"/>
          <w:szCs w:val="32"/>
        </w:rPr>
        <w:t>方案</w:t>
      </w:r>
      <w:r>
        <w:rPr>
          <w:rFonts w:hint="eastAsia" w:ascii="仿宋" w:hAnsi="仿宋" w:eastAsia="仿宋"/>
          <w:sz w:val="32"/>
          <w:szCs w:val="32"/>
        </w:rPr>
        <w:t>》进行了研究讨论，形成了目前的稿件。</w:t>
      </w:r>
    </w:p>
    <w:p>
      <w:pPr>
        <w:spacing w:line="560" w:lineRule="exact"/>
        <w:ind w:firstLine="640" w:firstLineChars="200"/>
        <w:rPr>
          <w:rFonts w:hint="eastAsia" w:asci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eastAsia="黑体" w:cs="黑体"/>
          <w:sz w:val="32"/>
          <w:szCs w:val="32"/>
        </w:rPr>
        <w:t>、拟确定的主要制度和措施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本实施方案中的“郑州市文物收藏单位”包含全市国有博物馆及国有考古研究机构。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</w:t>
      </w:r>
      <w:r>
        <w:rPr>
          <w:rFonts w:hint="default" w:ascii="方正楷体_GBK" w:hAnsi="方正楷体_GBK" w:eastAsia="方正楷体_GBK" w:cs="方正楷体_GBK"/>
          <w:sz w:val="32"/>
          <w:szCs w:val="32"/>
          <w:lang w:eastAsia="zh-CN"/>
        </w:rPr>
        <w:t>拟确定的主要任务。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建立健全多元运营机制。制定从授权、招商、运营到监管全套运营机制，为各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文物收藏单位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开展多元化运营提供行业准则和指导依据。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推动“博物馆+”品牌战略。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文物收藏单位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对场地空间、展陈展览、文物资源、研学课程等的系统梳理，明确可供深度开发的空间与资源。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调动市场主体的能动性。充分调动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郑州市文物收藏单位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的积极性，鼓励各单位主动寻求合作主体，依托馆藏资源、陈列展览、形象品牌、主题活动和人才队伍等要素，积极利用文物资源稳妥推进文化创意产品、数字化体验项目等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运营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试点，促进优秀文化资源的传承传播与合理利用。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40"/>
          <w:u w:val="none"/>
          <w:lang w:eastAsia="zh-CN"/>
        </w:rPr>
        <w:t>（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40"/>
          <w:u w:val="none"/>
          <w:lang w:val="en-US" w:eastAsia="zh-CN"/>
        </w:rPr>
        <w:t>二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40"/>
          <w:u w:val="none"/>
          <w:lang w:eastAsia="zh-CN"/>
        </w:rPr>
        <w:t>）拟</w:t>
      </w: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40"/>
          <w:u w:val="none"/>
          <w:lang w:val="en-US" w:eastAsia="zh-CN"/>
        </w:rPr>
        <w:t>开展多元化运营项目</w:t>
      </w: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40"/>
          <w:u w:val="none"/>
          <w:lang w:eastAsia="zh-CN"/>
        </w:rPr>
        <w:t>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公共空间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运营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授权合作方在公共空间开展数字剧场、演绎剧场、剧本杀等沉浸式体验项目，以及主题展览、文化沙龙、会议会务、轻食茶餐等常态化消费服务项目。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文化服务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运营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讲解服务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研学活动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文物借展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特色展览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其他增值服务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运营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商品开发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运营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实体物态产品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运营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虚拟产品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运营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“博物馆+”品牌授权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运营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执行“博物馆+”品牌IP授权计划，针对馆藏文物图片及音像资料、博物馆品牌等无形资产，开展跨界联名及品牌授权合作，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促进博物馆与教育、科技、旅游、商业、传媒、设计等跨界融合，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以“博物馆+”带动文化全域赋能，收取相应的授权费用。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（三）拟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确定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的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多元化运营主体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郑州市文物收藏单位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特点，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u w:val="none"/>
          <w:lang w:val="en-US" w:eastAsia="zh-CN"/>
        </w:rPr>
        <w:t>“一馆一策”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开展多元化运营工作，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在全市国有博物馆及国有考古研究机构实行。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5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拟制定的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保障措施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u w:val="none"/>
          <w:lang w:val="en-US" w:eastAsia="zh-CN"/>
        </w:rPr>
        <w:t>（一）坚持“一馆一策”，制定具有可操作性的活化利用方案。重点探索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郑州市文物收藏单位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u w:val="none"/>
          <w:lang w:val="en-US" w:eastAsia="zh-CN"/>
        </w:rPr>
        <w:t>通过博物馆知识产权作价入股等方式投资设立企业，从事文创产品开发、公共空间利用、文化增值服务等运营活动。鼓励具备条件的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郑州市文物收藏单位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u w:val="none"/>
          <w:lang w:val="en-US" w:eastAsia="zh-CN"/>
        </w:rPr>
        <w:t>在确保公益目标、保护好国家文物、做强主业的前提下，依托馆藏资源和自身实际，采取合作、授权等多元化方式开展文物收藏单位开发运营。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u w:val="none"/>
          <w:lang w:val="en-US" w:eastAsia="zh-CN"/>
        </w:rPr>
        <w:t>（二）坚持公益为主，保障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u w:val="none"/>
          <w:lang w:val="en" w:eastAsia="zh-CN"/>
        </w:rPr>
        <w:t>运营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u w:val="none"/>
          <w:lang w:val="en-US" w:eastAsia="zh-CN"/>
        </w:rPr>
        <w:t>收益的科学分配与再利用。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u w:val="none"/>
          <w:lang w:val="en" w:eastAsia="zh-CN"/>
        </w:rPr>
        <w:t>文物收藏单位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u w:val="none"/>
          <w:lang w:val="en-US" w:eastAsia="zh-CN"/>
        </w:rPr>
        <w:t>开发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u w:val="none"/>
          <w:lang w:val="en" w:eastAsia="zh-CN"/>
        </w:rPr>
        <w:t>运营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u w:val="none"/>
          <w:lang w:val="en-US" w:eastAsia="zh-CN"/>
        </w:rPr>
        <w:t>取得的事业收入、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u w:val="none"/>
          <w:lang w:val="en" w:eastAsia="zh-CN"/>
        </w:rPr>
        <w:t>运营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u w:val="none"/>
          <w:lang w:val="en-US" w:eastAsia="zh-CN"/>
        </w:rPr>
        <w:t>收入和其他收入等按规定统一上缴财政实行“收支两条线”，纳入本单位预算统一管理。经向市财政预算申请，专项经费可用于加强公益文化服务、研学课程开发、藏品征集、文创产品开发、数字化建设、文化传播推广、各类社教活动、绩效奖励等文博事业发展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u w:val="none"/>
          <w:lang w:val="en-US" w:eastAsia="zh-CN"/>
        </w:rPr>
        <w:t>（三）鼓励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u w:val="none"/>
          <w:lang w:val="en" w:eastAsia="zh-CN"/>
        </w:rPr>
        <w:t>文物收藏单位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u w:val="none"/>
          <w:lang w:val="en-US" w:eastAsia="zh-CN"/>
        </w:rPr>
        <w:t>与各类市场主体充分沟通对接。实现与国有文旅文创公司、具有文旅文创经验的优秀民营企业的合作，采取IP授权、委托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40"/>
          <w:u w:val="none"/>
          <w:lang w:val="en" w:eastAsia="zh-CN"/>
        </w:rPr>
        <w:t>运营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u w:val="none"/>
          <w:lang w:val="en-US" w:eastAsia="zh-CN"/>
        </w:rPr>
        <w:t>、授权服务等多种方式在合作内容范围内达成合作协议。对基于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郑州市文物收藏单位藏品资源开发利用的奖补政策另行制定。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E2A1254"/>
    <w:rsid w:val="3C97DCEA"/>
    <w:rsid w:val="3F5FBF95"/>
    <w:rsid w:val="5F3B7C34"/>
    <w:rsid w:val="71F512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2308</Words>
  <Characters>2335</Characters>
  <Paragraphs>32</Paragraphs>
  <TotalTime>3</TotalTime>
  <ScaleCrop>false</ScaleCrop>
  <LinksUpToDate>false</LinksUpToDate>
  <CharactersWithSpaces>2351</CharactersWithSpaces>
  <Application>WPS Office_11.8.2.9864_F1E327BC-269C-435d-A152-05C5408002CA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2023-08-24T14:19:00Z</dcterms:created>
  <dc:creator>LSA-AN00</dc:creator>
  <cp:lastModifiedBy>卞建龙</cp:lastModifiedBy>
  <dcterms:modified xsi:type="dcterms:W3CDTF">2023-09-11T17:46:38Z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dac63a26f60f4fad9b71cba5a3e2399f_21</vt:lpwstr>
  </property>
  <property fmtid="{D5CDD505-2E9C-101B-9397-08002B2CF9AE}" pid="3" name="KSOProductBuildVer">
    <vt:lpwstr>2052-11.8.2.9864</vt:lpwstr>
  </property>
</Properties>
</file>