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pacing w:beforeAutospacing="0" w:afterAutospacing="0" w:line="560" w:lineRule="exact"/>
        <w:ind w:left="0" w:leftChars="0" w:right="0" w:rightChars="0"/>
        <w:jc w:val="center"/>
        <w:textAlignment w:val="auto"/>
        <w:rPr>
          <w:rFonts w:hint="eastAsia" w:ascii="方正小标宋简体" w:hAnsi="方正小标宋简体" w:eastAsia="方正小标宋简体" w:cs="方正小标宋简体"/>
          <w:b w:val="0"/>
          <w:bCs w:val="0"/>
          <w:i w:val="0"/>
          <w:caps w:val="0"/>
          <w:color w:val="auto"/>
          <w:spacing w:val="0"/>
          <w:sz w:val="44"/>
          <w:szCs w:val="44"/>
          <w:u w:val="none"/>
          <w:shd w:val="clear" w:color="auto" w:fill="FFFFFF"/>
          <w:lang w:eastAsia="zh-CN"/>
        </w:rPr>
      </w:pPr>
      <w:r>
        <w:rPr>
          <w:rFonts w:hint="eastAsia" w:ascii="方正小标宋简体" w:hAnsi="方正小标宋简体" w:eastAsia="方正小标宋简体" w:cs="方正小标宋简体"/>
          <w:b w:val="0"/>
          <w:bCs w:val="0"/>
          <w:i w:val="0"/>
          <w:caps w:val="0"/>
          <w:color w:val="auto"/>
          <w:spacing w:val="0"/>
          <w:sz w:val="44"/>
          <w:szCs w:val="44"/>
          <w:u w:val="none"/>
          <w:shd w:val="clear" w:color="auto" w:fill="FFFFFF"/>
          <w:lang w:eastAsia="zh-CN"/>
        </w:rPr>
        <w:t>郑州市</w:t>
      </w:r>
      <w:r>
        <w:rPr>
          <w:rFonts w:hint="eastAsia" w:ascii="方正小标宋简体" w:hAnsi="方正小标宋简体" w:eastAsia="方正小标宋简体" w:cs="方正小标宋简体"/>
          <w:b w:val="0"/>
          <w:bCs w:val="0"/>
          <w:i w:val="0"/>
          <w:caps w:val="0"/>
          <w:color w:val="auto"/>
          <w:spacing w:val="0"/>
          <w:sz w:val="44"/>
          <w:szCs w:val="44"/>
          <w:u w:val="none"/>
          <w:shd w:val="clear" w:color="auto" w:fill="FFFFFF"/>
          <w:lang w:val="en-US" w:eastAsia="zh-CN"/>
        </w:rPr>
        <w:t>文物博物馆事业发展</w:t>
      </w:r>
      <w:r>
        <w:rPr>
          <w:rFonts w:hint="eastAsia" w:ascii="方正小标宋简体" w:hAnsi="方正小标宋简体" w:eastAsia="方正小标宋简体" w:cs="方正小标宋简体"/>
          <w:b w:val="0"/>
          <w:bCs w:val="0"/>
          <w:i w:val="0"/>
          <w:caps w:val="0"/>
          <w:color w:val="auto"/>
          <w:spacing w:val="0"/>
          <w:sz w:val="44"/>
          <w:szCs w:val="44"/>
          <w:u w:val="none"/>
          <w:shd w:val="clear" w:color="auto" w:fill="FFFFFF"/>
          <w:lang w:eastAsia="zh-CN"/>
        </w:rPr>
        <w:t>“十四五”规划</w:t>
      </w:r>
      <w:bookmarkStart w:id="6" w:name="_GoBack"/>
      <w:bookmarkEnd w:id="6"/>
    </w:p>
    <w:p>
      <w:pPr>
        <w:keepNext w:val="0"/>
        <w:keepLines w:val="0"/>
        <w:pageBreakBefore w:val="0"/>
        <w:widowControl w:val="0"/>
        <w:kinsoku/>
        <w:wordWrap/>
        <w:overflowPunct/>
        <w:topLinePunct w:val="0"/>
        <w:autoSpaceDE/>
        <w:autoSpaceDN/>
        <w:bidi w:val="0"/>
        <w:adjustRightInd/>
        <w:spacing w:beforeAutospacing="0" w:afterAutospacing="0" w:line="560" w:lineRule="exact"/>
        <w:ind w:left="0" w:leftChars="0" w:right="0" w:rightChars="0"/>
        <w:jc w:val="center"/>
        <w:textAlignment w:val="auto"/>
        <w:rPr>
          <w:rFonts w:hint="eastAsia" w:ascii="楷体_GB2312" w:hAnsi="楷体_GB2312" w:eastAsia="楷体_GB2312" w:cs="楷体_GB2312"/>
          <w:color w:val="auto"/>
          <w:sz w:val="32"/>
          <w:szCs w:val="32"/>
          <w:highlight w:val="none"/>
          <w:u w:val="none"/>
        </w:rPr>
      </w:pPr>
      <w:r>
        <w:rPr>
          <w:rFonts w:hint="eastAsia" w:ascii="楷体_GB2312" w:hAnsi="楷体_GB2312" w:eastAsia="楷体_GB2312" w:cs="楷体_GB2312"/>
          <w:color w:val="auto"/>
          <w:sz w:val="32"/>
          <w:szCs w:val="32"/>
          <w:highlight w:val="none"/>
          <w:u w:val="none"/>
        </w:rPr>
        <w:t>（</w:t>
      </w:r>
      <w:r>
        <w:rPr>
          <w:rFonts w:hint="eastAsia" w:ascii="楷体_GB2312" w:hAnsi="楷体_GB2312" w:eastAsia="楷体_GB2312" w:cs="楷体_GB2312"/>
          <w:color w:val="auto"/>
          <w:sz w:val="32"/>
          <w:szCs w:val="32"/>
          <w:highlight w:val="none"/>
          <w:u w:val="none"/>
          <w:lang w:eastAsia="zh-CN"/>
        </w:rPr>
        <w:t>征求意见</w:t>
      </w:r>
      <w:r>
        <w:rPr>
          <w:rFonts w:hint="eastAsia" w:ascii="楷体_GB2312" w:hAnsi="楷体_GB2312" w:eastAsia="楷体_GB2312" w:cs="楷体_GB2312"/>
          <w:color w:val="auto"/>
          <w:sz w:val="32"/>
          <w:szCs w:val="32"/>
          <w:highlight w:val="none"/>
          <w:u w:val="none"/>
        </w:rPr>
        <w:t>稿）</w:t>
      </w:r>
    </w:p>
    <w:p>
      <w:pPr>
        <w:spacing w:line="560" w:lineRule="exact"/>
        <w:jc w:val="center"/>
        <w:rPr>
          <w:rFonts w:hint="eastAsia" w:ascii="黑体" w:hAnsi="黑体" w:eastAsia="黑体" w:cs="方正小标宋简体"/>
          <w:color w:val="000000"/>
          <w:szCs w:val="32"/>
        </w:rPr>
      </w:pPr>
    </w:p>
    <w:p>
      <w:pPr>
        <w:spacing w:line="560" w:lineRule="exact"/>
        <w:jc w:val="center"/>
        <w:rPr>
          <w:rFonts w:ascii="黑体" w:hAnsi="黑体" w:eastAsia="黑体" w:cs="方正小标宋简体"/>
          <w:color w:val="000000"/>
          <w:szCs w:val="32"/>
        </w:rPr>
      </w:pPr>
      <w:r>
        <w:rPr>
          <w:rFonts w:hint="eastAsia" w:ascii="黑体" w:hAnsi="黑体" w:eastAsia="黑体" w:cs="方正小标宋简体"/>
          <w:color w:val="000000"/>
          <w:szCs w:val="32"/>
        </w:rPr>
        <w:t xml:space="preserve">前 </w:t>
      </w:r>
      <w:r>
        <w:rPr>
          <w:rFonts w:ascii="黑体" w:hAnsi="黑体" w:eastAsia="黑体" w:cs="方正小标宋简体"/>
          <w:color w:val="000000"/>
          <w:szCs w:val="32"/>
        </w:rPr>
        <w:t xml:space="preserve"> </w:t>
      </w:r>
      <w:r>
        <w:rPr>
          <w:rFonts w:hint="eastAsia" w:ascii="黑体" w:hAnsi="黑体" w:eastAsia="黑体" w:cs="方正小标宋简体"/>
          <w:color w:val="000000"/>
          <w:szCs w:val="32"/>
        </w:rPr>
        <w:t>言</w:t>
      </w:r>
    </w:p>
    <w:p>
      <w:pPr>
        <w:spacing w:line="560" w:lineRule="exact"/>
        <w:ind w:firstLine="640" w:firstLineChars="200"/>
        <w:rPr>
          <w:color w:val="000000"/>
        </w:rPr>
      </w:pPr>
    </w:p>
    <w:p>
      <w:pPr>
        <w:spacing w:line="560" w:lineRule="exact"/>
        <w:ind w:firstLine="640" w:firstLineChars="200"/>
        <w:rPr>
          <w:color w:val="000000"/>
        </w:rPr>
      </w:pPr>
      <w:r>
        <w:rPr>
          <w:rFonts w:hint="eastAsia"/>
          <w:color w:val="000000"/>
        </w:rPr>
        <w:t>文物承载灿烂文明，传承历史文化，维系民族精神，是老祖宗留给我们的宝贵遗产，是加强社会主义精神文明建设的深厚滋养。郑州地处黄河中下游，位居“天地之中”，是中华文明的重要发源地，文化底蕴深厚，文物资源丰富。郑州市文物博物馆事业的创新发展，对于文物密集型城市服务经济社会发展的探索实践具有重要示范意义。</w:t>
      </w:r>
    </w:p>
    <w:p>
      <w:pPr>
        <w:spacing w:line="560" w:lineRule="exact"/>
        <w:ind w:firstLine="640" w:firstLineChars="200"/>
        <w:rPr>
          <w:color w:val="000000"/>
        </w:rPr>
      </w:pPr>
      <w:r>
        <w:rPr>
          <w:rFonts w:hint="eastAsia"/>
          <w:color w:val="000000"/>
        </w:rPr>
        <w:t>“十三五”期间，全市</w:t>
      </w:r>
      <w:r>
        <w:rPr>
          <w:rFonts w:hint="eastAsia" w:cs="仿宋"/>
          <w:color w:val="000000"/>
        </w:rPr>
        <w:t>文物博物馆事业牢固树立“以人为本，保护成果人人共享”的工作理念，锐意改革、矢志创新，着力探索文物博物馆事业服务社会发展大局的新思路、新方法，全国重点文物保护单位增加至83项89处，居全国</w:t>
      </w:r>
      <w:r>
        <w:rPr>
          <w:rFonts w:cs="仿宋"/>
          <w:color w:val="000000"/>
          <w:lang w:val="en"/>
        </w:rPr>
        <w:t>省会城市首位</w:t>
      </w:r>
      <w:r>
        <w:rPr>
          <w:rFonts w:hint="eastAsia" w:cs="仿宋"/>
          <w:color w:val="000000"/>
        </w:rPr>
        <w:t>。全国十大考古新发现增加至15项，居全国首位。考古科研基础研究进一步夯实，文物考古前置改革、生态保遗工程、百家博物馆建设发挥了重要引领示范作用，郑州博物馆新馆、</w:t>
      </w:r>
      <w:r>
        <w:rPr>
          <w:rFonts w:hint="eastAsia"/>
          <w:color w:val="000000"/>
        </w:rPr>
        <w:t>郑州商都遗址博物院及郑州文物考古研究院</w:t>
      </w:r>
      <w:r>
        <w:rPr>
          <w:color w:val="000000"/>
          <w:lang w:val="en"/>
        </w:rPr>
        <w:t>建成开放，</w:t>
      </w:r>
      <w:r>
        <w:rPr>
          <w:rFonts w:hint="eastAsia"/>
          <w:color w:val="000000"/>
        </w:rPr>
        <w:t>郑州纺织工业遗址博物馆</w:t>
      </w:r>
      <w:r>
        <w:rPr>
          <w:color w:val="000000"/>
          <w:lang w:val="en"/>
        </w:rPr>
        <w:t>、大河村仰韶文化博物馆、黄河博物馆新馆、中国古代冶铁博物馆等国有博物馆规划、</w:t>
      </w:r>
      <w:r>
        <w:rPr>
          <w:rFonts w:hint="eastAsia"/>
          <w:color w:val="000000"/>
        </w:rPr>
        <w:t>建设成效显著，</w:t>
      </w:r>
      <w:r>
        <w:rPr>
          <w:color w:val="000000"/>
          <w:lang w:val="en"/>
        </w:rPr>
        <w:t>非国有博物馆在政府引导、扶持下发挥出重要补充作用。国家考古遗址公园新增郑韩故城国家考古遗址公园挂牌</w:t>
      </w:r>
      <w:r>
        <w:rPr>
          <w:rFonts w:hint="eastAsia"/>
          <w:color w:val="000000"/>
          <w:lang w:val="en"/>
        </w:rPr>
        <w:t>项目</w:t>
      </w:r>
      <w:r>
        <w:rPr>
          <w:color w:val="000000"/>
          <w:lang w:val="en"/>
        </w:rPr>
        <w:t>1项，新增</w:t>
      </w:r>
      <w:r>
        <w:rPr>
          <w:rFonts w:hint="eastAsia"/>
          <w:color w:val="000000"/>
        </w:rPr>
        <w:t>大河村</w:t>
      </w:r>
      <w:r>
        <w:rPr>
          <w:color w:val="000000"/>
          <w:lang w:val="en"/>
        </w:rPr>
        <w:t>国家</w:t>
      </w:r>
      <w:r>
        <w:rPr>
          <w:rFonts w:hint="eastAsia"/>
          <w:color w:val="000000"/>
        </w:rPr>
        <w:t>考古遗址公园</w:t>
      </w:r>
      <w:r>
        <w:rPr>
          <w:color w:val="000000"/>
          <w:lang w:val="en"/>
        </w:rPr>
        <w:t>立项</w:t>
      </w:r>
      <w:r>
        <w:rPr>
          <w:rFonts w:hint="eastAsia"/>
          <w:color w:val="000000"/>
          <w:lang w:val="en"/>
        </w:rPr>
        <w:t>项目</w:t>
      </w:r>
      <w:r>
        <w:rPr>
          <w:rFonts w:hint="eastAsia"/>
          <w:color w:val="000000"/>
        </w:rPr>
        <w:t>1项</w:t>
      </w:r>
      <w:r>
        <w:rPr>
          <w:color w:val="000000"/>
          <w:lang w:val="en"/>
        </w:rPr>
        <w:t>。</w:t>
      </w:r>
      <w:r>
        <w:rPr>
          <w:rFonts w:hint="eastAsia"/>
          <w:color w:val="000000"/>
        </w:rPr>
        <w:t>四大文化片区文物工作支撑力日益凸显，文物博物馆事业满足人民群众美好生活向往、赋能经济社会高质量发展能力不断提升，为郑州国家中心城市、黄河历史文化主地标城市建设强化了重要文化支撑。</w:t>
      </w:r>
    </w:p>
    <w:p>
      <w:pPr>
        <w:spacing w:line="560" w:lineRule="exact"/>
        <w:ind w:firstLine="640" w:firstLineChars="200"/>
        <w:rPr>
          <w:color w:val="000000"/>
        </w:rPr>
      </w:pPr>
      <w:r>
        <w:rPr>
          <w:rFonts w:hint="eastAsia" w:cs="仿宋"/>
          <w:color w:val="000000"/>
        </w:rPr>
        <w:t>2021</w:t>
      </w:r>
      <w:r>
        <w:rPr>
          <w:rFonts w:hint="eastAsia"/>
          <w:color w:val="000000"/>
        </w:rPr>
        <w:t>年是极不平凡的一年，文物博物馆事业五年规划首次上升为国家级专项规划，全市文物系统围绕市委、市政府决策部署和发展大局，不断加强文化遗产保护传承活化利用。尤其是面对“7·20”罕见暴雨，全市文物工作者，坚守“人在，文物在”的初心使命与责任担当，靠前部署安全防汛工作，深入现场进行全面摸排，积极开展抢险救灾，竭力做好灾</w:t>
      </w:r>
      <w:r>
        <w:rPr>
          <w:color w:val="000000"/>
          <w:lang w:val="en"/>
        </w:rPr>
        <w:t>后</w:t>
      </w:r>
      <w:r>
        <w:rPr>
          <w:rFonts w:hint="eastAsia"/>
          <w:color w:val="000000"/>
        </w:rPr>
        <w:t>修复工作。</w:t>
      </w:r>
    </w:p>
    <w:p>
      <w:pPr>
        <w:spacing w:line="560" w:lineRule="exact"/>
        <w:ind w:firstLine="640" w:firstLineChars="200"/>
        <w:rPr>
          <w:rFonts w:cs="仿宋"/>
          <w:color w:val="000000"/>
        </w:rPr>
      </w:pPr>
      <w:r>
        <w:rPr>
          <w:rFonts w:hint="eastAsia"/>
          <w:color w:val="000000"/>
        </w:rPr>
        <w:t>“十四五”时期，是我国全面建成小康社会、实现第一个百年奋斗目标之后，乘势而上全面向第二个百年奋斗目标进军的第一个五年。</w:t>
      </w:r>
      <w:r>
        <w:rPr>
          <w:rFonts w:cs="仿宋"/>
          <w:color w:val="000000"/>
        </w:rPr>
        <w:t>2022</w:t>
      </w:r>
      <w:r>
        <w:rPr>
          <w:color w:val="000000"/>
          <w:lang w:val="en"/>
        </w:rPr>
        <w:t>年</w:t>
      </w:r>
      <w:r>
        <w:rPr>
          <w:rFonts w:cs="仿宋"/>
          <w:color w:val="000000"/>
        </w:rPr>
        <w:t>7</w:t>
      </w:r>
      <w:r>
        <w:rPr>
          <w:color w:val="000000"/>
          <w:lang w:val="en"/>
        </w:rPr>
        <w:t>月</w:t>
      </w:r>
      <w:r>
        <w:rPr>
          <w:rFonts w:cs="仿宋"/>
          <w:color w:val="000000"/>
        </w:rPr>
        <w:t>22</w:t>
      </w:r>
      <w:r>
        <w:rPr>
          <w:color w:val="000000"/>
          <w:lang w:val="en"/>
        </w:rPr>
        <w:t>日召开的全国文物工作会</w:t>
      </w:r>
      <w:r>
        <w:rPr>
          <w:rFonts w:hint="eastAsia"/>
          <w:color w:val="000000"/>
          <w:lang w:val="en"/>
        </w:rPr>
        <w:t>议</w:t>
      </w:r>
      <w:r>
        <w:rPr>
          <w:color w:val="000000"/>
          <w:lang w:val="en"/>
        </w:rPr>
        <w:t>，提出坚持</w:t>
      </w:r>
      <w:r>
        <w:rPr>
          <w:rFonts w:hint="eastAsia"/>
          <w:color w:val="000000"/>
          <w:lang w:val="en"/>
        </w:rPr>
        <w:t>“</w:t>
      </w:r>
      <w:r>
        <w:rPr>
          <w:color w:val="000000"/>
          <w:lang w:val="en"/>
        </w:rPr>
        <w:t>保护第一、加强管理、挖掘价值、有效利用，让文物活起来</w:t>
      </w:r>
      <w:r>
        <w:rPr>
          <w:rFonts w:hint="eastAsia"/>
          <w:color w:val="000000"/>
          <w:lang w:val="en"/>
        </w:rPr>
        <w:t>”</w:t>
      </w:r>
      <w:r>
        <w:rPr>
          <w:color w:val="000000"/>
          <w:lang w:val="en"/>
        </w:rPr>
        <w:t>的文物工作方针，对文物活化利用和服务社会能力提出了更新更高要求。</w:t>
      </w:r>
      <w:r>
        <w:rPr>
          <w:rFonts w:hint="eastAsia"/>
          <w:color w:val="000000"/>
        </w:rPr>
        <w:t>面对新形势、新要求，贯彻新发展理念，融入新发展格</w:t>
      </w:r>
      <w:r>
        <w:rPr>
          <w:rFonts w:hint="eastAsia" w:cs="仿宋"/>
          <w:color w:val="000000"/>
        </w:rPr>
        <w:t>局，我们必须坚持以习近平总书记关于文物保护工作系列讲话精神和重要论述为指引，进一步深入贯彻党和国家《关于学习贯彻习近平总书记重要讲话精神全面加强历史文化遗产保护的通知》《关于加强文物保护利用改革的若干意见》《关于让文物活起来扩大中华文</w:t>
      </w:r>
      <w:r>
        <w:rPr>
          <w:rFonts w:hint="eastAsia" w:cs="仿宋"/>
        </w:rPr>
        <w:t>化国际影响力的实施意见》《“十四五”文物保护和科技创新规划》《“十四五”文化发展规划》，落实</w:t>
      </w:r>
      <w:r>
        <w:rPr>
          <w:rFonts w:hint="eastAsia" w:cs="仿宋"/>
          <w:color w:val="000000"/>
        </w:rPr>
        <w:t>《河南省文物博物馆事业发展“十四五”规划》《河南省加强文物保护利用改革实施方案》，坚持“</w:t>
      </w:r>
      <w:r>
        <w:rPr>
          <w:color w:val="000000"/>
          <w:lang w:val="en"/>
        </w:rPr>
        <w:t>保护第一、加强管理、挖掘价值、有效利用，让文物活起来</w:t>
      </w:r>
      <w:r>
        <w:rPr>
          <w:rFonts w:hint="eastAsia" w:cs="仿宋"/>
          <w:color w:val="000000"/>
        </w:rPr>
        <w:t>”的文物工作方针，强化服务人民的文物保护理念，做好文物系统灾后修复重建，促进防灾抗灾减灾能力提升，深入挖掘阐释文物历史内涵和时代价值，加快文物博物馆事业发展，进一步改革创新促进文物“活”起来，为建设中国特色、中国风格、中国气派的考古学和文明研究学科体系、学术体系、话语体系，展示好中华文明风采和对人类文明进步作出的重大贡献，增强历史自觉，坚定文化自信，扩大中华文化国际影响力贡献</w:t>
      </w:r>
      <w:r>
        <w:rPr>
          <w:rFonts w:cs="仿宋"/>
          <w:color w:val="000000"/>
          <w:lang w:val="en"/>
        </w:rPr>
        <w:t>更多更新更有力的</w:t>
      </w:r>
      <w:r>
        <w:rPr>
          <w:rFonts w:hint="eastAsia" w:cs="仿宋"/>
          <w:color w:val="000000"/>
        </w:rPr>
        <w:t>郑州力量。</w:t>
      </w:r>
    </w:p>
    <w:p>
      <w:pPr>
        <w:pStyle w:val="14"/>
      </w:pPr>
      <w:r>
        <w:br w:type="page"/>
      </w:r>
    </w:p>
    <w:p>
      <w:pPr>
        <w:pStyle w:val="3"/>
      </w:pPr>
      <w:bookmarkStart w:id="0" w:name="_Ref88482595"/>
      <w:r>
        <w:rPr>
          <w:rFonts w:hint="eastAsia"/>
        </w:rPr>
        <w:t xml:space="preserve">第一章 </w:t>
      </w:r>
      <w:r>
        <w:t xml:space="preserve"> 总体要求</w:t>
      </w:r>
      <w:bookmarkEnd w:id="0"/>
    </w:p>
    <w:p>
      <w:pPr>
        <w:pStyle w:val="4"/>
        <w:spacing w:before="156" w:line="560" w:lineRule="exact"/>
        <w:ind w:firstLine="643"/>
        <w:rPr>
          <w:color w:val="000000"/>
        </w:rPr>
      </w:pPr>
      <w:r>
        <w:rPr>
          <w:rFonts w:hint="eastAsia"/>
          <w:color w:val="000000"/>
        </w:rPr>
        <w:t>一、</w:t>
      </w:r>
      <w:r>
        <w:rPr>
          <w:color w:val="000000"/>
          <w:lang w:val="en"/>
        </w:rPr>
        <w:t>战略指引</w:t>
      </w:r>
      <w:r>
        <w:rPr>
          <w:color w:val="000000"/>
        </w:rPr>
        <w:tab/>
      </w:r>
    </w:p>
    <w:p>
      <w:pPr>
        <w:spacing w:line="560" w:lineRule="exact"/>
        <w:ind w:firstLine="640" w:firstLineChars="200"/>
        <w:rPr>
          <w:color w:val="000000"/>
        </w:rPr>
      </w:pPr>
      <w:r>
        <w:rPr>
          <w:rFonts w:hint="eastAsia"/>
          <w:color w:val="000000"/>
        </w:rPr>
        <w:t>以习近平新时代中国特色社会主义思想为指导，全面贯彻党的十九大和十九届二中、三中、四中、五中、六中全会精神，深入学习</w:t>
      </w:r>
      <w:r>
        <w:rPr>
          <w:color w:val="000000"/>
          <w:lang w:val="en"/>
        </w:rPr>
        <w:t>贯彻</w:t>
      </w:r>
      <w:r>
        <w:rPr>
          <w:rFonts w:hint="eastAsia"/>
          <w:color w:val="000000"/>
        </w:rPr>
        <w:t>习近平总书记在黄河流域生态保护和高质量发展座谈会、中央政治局第二十三次、三十九次集体学习时重要讲话精神，</w:t>
      </w:r>
      <w:r>
        <w:rPr>
          <w:color w:val="000000"/>
          <w:lang w:val="en"/>
        </w:rPr>
        <w:t>落实好仰韶文化</w:t>
      </w:r>
      <w:r>
        <w:rPr>
          <w:rFonts w:hint="eastAsia"/>
          <w:color w:val="000000"/>
          <w:lang w:val="en"/>
        </w:rPr>
        <w:t>发现暨中国现代考古学诞生</w:t>
      </w:r>
      <w:r>
        <w:rPr>
          <w:rFonts w:hint="eastAsia" w:asciiTheme="minorEastAsia" w:hAnsiTheme="minorEastAsia" w:eastAsiaTheme="minorEastAsia"/>
          <w:color w:val="000000"/>
        </w:rPr>
        <w:t>100</w:t>
      </w:r>
      <w:r>
        <w:rPr>
          <w:color w:val="000000"/>
          <w:lang w:val="en"/>
        </w:rPr>
        <w:t>年</w:t>
      </w:r>
      <w:r>
        <w:rPr>
          <w:rFonts w:hint="eastAsia"/>
          <w:color w:val="000000"/>
          <w:lang w:val="en"/>
        </w:rPr>
        <w:t>贺信</w:t>
      </w:r>
      <w:r>
        <w:rPr>
          <w:color w:val="000000"/>
          <w:lang w:val="en"/>
        </w:rPr>
        <w:t>、</w:t>
      </w:r>
      <w:r>
        <w:rPr>
          <w:rFonts w:hint="eastAsia"/>
          <w:color w:val="000000"/>
          <w:lang w:val="en"/>
        </w:rPr>
        <w:t>给中国国家博物馆老专家回信相关指示要求，</w:t>
      </w:r>
      <w:r>
        <w:rPr>
          <w:rFonts w:hint="eastAsia"/>
          <w:color w:val="000000"/>
        </w:rPr>
        <w:t>统筹推进黄河、大运河、长城国家文化公园建设战略，开展</w:t>
      </w:r>
      <w:r>
        <w:rPr>
          <w:color w:val="000000"/>
        </w:rPr>
        <w:t>夏文化研究、</w:t>
      </w:r>
      <w:r>
        <w:rPr>
          <w:rFonts w:hint="eastAsia"/>
          <w:color w:val="000000"/>
        </w:rPr>
        <w:t>革命文物、石窟寺保护专项工作。继续探索未知、揭示本源，系统做好考古成果的挖掘、整理、阐释工作，全面加强历史文化遗产保护</w:t>
      </w:r>
      <w:r>
        <w:rPr>
          <w:color w:val="000000"/>
          <w:lang w:val="en"/>
        </w:rPr>
        <w:t>利用</w:t>
      </w:r>
      <w:r>
        <w:rPr>
          <w:rFonts w:hint="eastAsia"/>
          <w:color w:val="000000"/>
          <w:lang w:val="en"/>
        </w:rPr>
        <w:t>和博物馆</w:t>
      </w:r>
      <w:r>
        <w:rPr>
          <w:rFonts w:hint="eastAsia"/>
          <w:color w:val="000000"/>
        </w:rPr>
        <w:t>工作，努力打造一流考古体系、博物馆体系、展示利用体系，把中国文明历史研究引向深入，为探源中华文明、坚定文化自信作出郑州贡献，服务中华文明觉醒、中华民族伟大复兴。</w:t>
      </w:r>
    </w:p>
    <w:p>
      <w:pPr>
        <w:pStyle w:val="4"/>
        <w:spacing w:before="156" w:line="560" w:lineRule="exact"/>
        <w:ind w:firstLine="643"/>
        <w:rPr>
          <w:color w:val="000000"/>
        </w:rPr>
      </w:pPr>
      <w:r>
        <w:rPr>
          <w:rFonts w:hint="eastAsia"/>
          <w:color w:val="000000"/>
        </w:rPr>
        <w:t>二、总体目标</w:t>
      </w:r>
    </w:p>
    <w:p>
      <w:pPr>
        <w:spacing w:line="560" w:lineRule="exact"/>
        <w:ind w:firstLine="640" w:firstLineChars="200"/>
        <w:rPr>
          <w:color w:val="000000"/>
        </w:rPr>
      </w:pPr>
      <w:r>
        <w:rPr>
          <w:rFonts w:hint="eastAsia"/>
          <w:color w:val="000000"/>
        </w:rPr>
        <w:t>坚持“</w:t>
      </w:r>
      <w:r>
        <w:rPr>
          <w:color w:val="000000"/>
          <w:lang w:val="en"/>
        </w:rPr>
        <w:t>保护第一、加强管理、挖掘价值、有效利用，让文物活起来</w:t>
      </w:r>
      <w:r>
        <w:rPr>
          <w:rFonts w:hint="eastAsia"/>
          <w:color w:val="000000"/>
        </w:rPr>
        <w:t>”文物工作方针，深入贯彻落实党和国家战略指引，按照省委省政府和市委市政府工作部署，以</w:t>
      </w:r>
      <w:r>
        <w:rPr>
          <w:color w:val="000000"/>
          <w:lang w:val="en"/>
        </w:rPr>
        <w:t>省会</w:t>
      </w:r>
      <w:r>
        <w:rPr>
          <w:rFonts w:hint="eastAsia"/>
          <w:color w:val="000000"/>
        </w:rPr>
        <w:t>郑州</w:t>
      </w:r>
      <w:r>
        <w:rPr>
          <w:color w:val="000000"/>
        </w:rPr>
        <w:t>为中心，</w:t>
      </w:r>
      <w:r>
        <w:rPr>
          <w:color w:val="000000"/>
          <w:lang w:val="en"/>
        </w:rPr>
        <w:t>以</w:t>
      </w:r>
      <w:r>
        <w:rPr>
          <w:rFonts w:hint="eastAsia"/>
          <w:color w:val="000000"/>
        </w:rPr>
        <w:t>“行走</w:t>
      </w:r>
      <w:r>
        <w:rPr>
          <w:color w:val="000000"/>
        </w:rPr>
        <w:t>河南</w:t>
      </w:r>
      <w:r>
        <w:rPr>
          <w:rFonts w:hint="eastAsia"/>
          <w:color w:val="000000"/>
        </w:rPr>
        <w:t>·</w:t>
      </w:r>
      <w:r>
        <w:rPr>
          <w:color w:val="000000"/>
        </w:rPr>
        <w:t>读懂中国</w:t>
      </w:r>
      <w:r>
        <w:rPr>
          <w:rFonts w:hint="eastAsia"/>
          <w:color w:val="000000"/>
        </w:rPr>
        <w:t>”</w:t>
      </w:r>
      <w:r>
        <w:rPr>
          <w:color w:val="000000"/>
          <w:lang w:val="en"/>
        </w:rPr>
        <w:t>为主题，打造</w:t>
      </w:r>
      <w:r>
        <w:rPr>
          <w:rFonts w:hint="eastAsia"/>
          <w:color w:val="000000"/>
        </w:rPr>
        <w:t>中华</w:t>
      </w:r>
      <w:r>
        <w:rPr>
          <w:color w:val="000000"/>
        </w:rPr>
        <w:t>文明全景式集中展示地，</w:t>
      </w:r>
      <w:r>
        <w:rPr>
          <w:rFonts w:hint="eastAsia"/>
          <w:color w:val="000000"/>
        </w:rPr>
        <w:t>持续推进博物馆群和中华文明主题乐园建设。联动黄河流域及历史流经地区，建设黄河</w:t>
      </w:r>
      <w:r>
        <w:rPr>
          <w:color w:val="000000"/>
        </w:rPr>
        <w:t>历史文化主地标城市</w:t>
      </w:r>
      <w:r>
        <w:rPr>
          <w:rFonts w:hint="eastAsia"/>
          <w:color w:val="000000"/>
        </w:rPr>
        <w:t>，打造集“早期中国”展示、黄河文化发展主干展示、大河文明国际交往为一体的黄河国家文化公园示范区，建设炎黄</w:t>
      </w:r>
      <w:r>
        <w:rPr>
          <w:color w:val="000000"/>
        </w:rPr>
        <w:t>子孙</w:t>
      </w:r>
      <w:r>
        <w:rPr>
          <w:rFonts w:hint="eastAsia"/>
          <w:color w:val="000000"/>
        </w:rPr>
        <w:t>的</w:t>
      </w:r>
      <w:r>
        <w:rPr>
          <w:color w:val="000000"/>
        </w:rPr>
        <w:t>寻根</w:t>
      </w:r>
      <w:r>
        <w:rPr>
          <w:rFonts w:hint="eastAsia"/>
          <w:color w:val="000000"/>
        </w:rPr>
        <w:t>之</w:t>
      </w:r>
      <w:r>
        <w:rPr>
          <w:color w:val="000000"/>
        </w:rPr>
        <w:t>地</w:t>
      </w:r>
      <w:r>
        <w:rPr>
          <w:rFonts w:hint="eastAsia"/>
          <w:color w:val="000000"/>
        </w:rPr>
        <w:t>、</w:t>
      </w:r>
      <w:r>
        <w:rPr>
          <w:color w:val="000000"/>
        </w:rPr>
        <w:t>中华文化</w:t>
      </w:r>
      <w:r>
        <w:rPr>
          <w:rFonts w:hint="eastAsia"/>
          <w:color w:val="000000"/>
        </w:rPr>
        <w:t>的</w:t>
      </w:r>
      <w:r>
        <w:rPr>
          <w:color w:val="000000"/>
        </w:rPr>
        <w:t>朝圣</w:t>
      </w:r>
      <w:r>
        <w:rPr>
          <w:rFonts w:hint="eastAsia"/>
          <w:color w:val="000000"/>
        </w:rPr>
        <w:t>之</w:t>
      </w:r>
      <w:r>
        <w:rPr>
          <w:color w:val="000000"/>
        </w:rPr>
        <w:t>地</w:t>
      </w:r>
      <w:r>
        <w:rPr>
          <w:rFonts w:hint="eastAsia"/>
          <w:color w:val="000000"/>
        </w:rPr>
        <w:t>、中华文明的体验之地、华夏国学的教育之地。</w:t>
      </w:r>
    </w:p>
    <w:p>
      <w:pPr>
        <w:spacing w:line="560" w:lineRule="exact"/>
        <w:ind w:firstLine="640" w:firstLineChars="200"/>
        <w:rPr>
          <w:color w:val="000000"/>
        </w:rPr>
      </w:pPr>
      <w:r>
        <w:rPr>
          <w:rFonts w:hint="eastAsia"/>
          <w:color w:val="000000"/>
        </w:rPr>
        <w:t>近期目标：到20</w:t>
      </w:r>
      <w:r>
        <w:rPr>
          <w:color w:val="000000"/>
        </w:rPr>
        <w:t>23</w:t>
      </w:r>
      <w:r>
        <w:rPr>
          <w:rFonts w:hint="eastAsia"/>
          <w:color w:val="000000"/>
        </w:rPr>
        <w:t>年，完成重点文物修缮修复</w:t>
      </w:r>
      <w:r>
        <w:rPr>
          <w:color w:val="000000"/>
          <w:lang w:val="en"/>
        </w:rPr>
        <w:t>，</w:t>
      </w:r>
      <w:r>
        <w:rPr>
          <w:rFonts w:hint="eastAsia"/>
          <w:color w:val="000000"/>
        </w:rPr>
        <w:t>文物系统防灾抗灾综合能力大幅增强；文物保护理念完善升级，持续深化考古调查勘探发掘前置改革、生态保遗工程、百家博物馆建设成果，积极申办世界大河文明论坛，办好第九届“博博会”、第三届“中国考古·郑州论坛”，遴选公布第三批市级文物保护单位；加快保护展示利用水平全面提升，推进“两带一心”重点项目建设，加快黄河博物馆</w:t>
      </w:r>
      <w:r>
        <w:rPr>
          <w:color w:val="000000"/>
          <w:lang w:val="en"/>
        </w:rPr>
        <w:t>新馆</w:t>
      </w:r>
      <w:r>
        <w:rPr>
          <w:rFonts w:hint="eastAsia"/>
          <w:color w:val="000000"/>
        </w:rPr>
        <w:t>、大河村国家考古遗址公园、魏长城国家文化公园、中国古代冶铁博物馆、郑州纺织工业遗址博物馆建设进度；持续提升黄帝故里拜祖大典、“中国考古·郑州论坛”影响力；优化百家博物馆建设，积极推动博物馆群和中华文明主题乐园落地实施，全市馆藏文物利用水平明显提高，文博创意产业持续发展，公共文化服务功能和社会教育作用更加凸显。</w:t>
      </w:r>
    </w:p>
    <w:p>
      <w:pPr>
        <w:spacing w:line="560" w:lineRule="exact"/>
        <w:ind w:firstLine="640" w:firstLineChars="200"/>
        <w:rPr>
          <w:color w:val="000000"/>
        </w:rPr>
      </w:pPr>
      <w:r>
        <w:rPr>
          <w:rFonts w:hint="eastAsia"/>
          <w:color w:val="000000"/>
        </w:rPr>
        <w:t>远期目标：到</w:t>
      </w:r>
      <w:r>
        <w:rPr>
          <w:color w:val="000000"/>
        </w:rPr>
        <w:t>2025年</w:t>
      </w:r>
      <w:r>
        <w:rPr>
          <w:rFonts w:hint="eastAsia"/>
          <w:color w:val="000000"/>
        </w:rPr>
        <w:t>，《郑州市黄河文化遗产保护传承弘扬专项规划》《郑州市全域文物保护利用示范区总体规划》的项目谋划全面启动，“两带一心”城市文化格局初具规模，黄河国家文化公园主体建成，郑州市在黄河流域生态保护和高质量发展国家战略中的引领性示范作用全面显现。“行走河南·读懂中国”中华文明全景式集中展示地建设卓有成效，博物馆群主体馆</w:t>
      </w:r>
      <w:r>
        <w:rPr>
          <w:color w:val="000000"/>
          <w:lang w:val="en"/>
        </w:rPr>
        <w:t>建设</w:t>
      </w:r>
      <w:r>
        <w:rPr>
          <w:rFonts w:hint="eastAsia"/>
          <w:color w:val="000000"/>
          <w:lang w:val="en"/>
        </w:rPr>
        <w:t>基本完成</w:t>
      </w:r>
      <w:r>
        <w:rPr>
          <w:rFonts w:hint="eastAsia"/>
          <w:color w:val="000000"/>
        </w:rPr>
        <w:t>，中华文明主题乐园起步区建设初具成效，形成较强影响力。世界大河文明论坛（中国·郑州）初具规模，大河村国家考古遗址公园、黄河博物馆</w:t>
      </w:r>
      <w:r>
        <w:rPr>
          <w:color w:val="000000"/>
          <w:lang w:val="en"/>
        </w:rPr>
        <w:t>新馆</w:t>
      </w:r>
      <w:r>
        <w:rPr>
          <w:rFonts w:hint="eastAsia"/>
          <w:color w:val="000000"/>
        </w:rPr>
        <w:t>、世界大河文明论坛、中原考古保护研究中心、裴李岗遗址公园、西山遗址公园相映成辉，系统研究、展示、传承、弘扬黄河文化，推动黄河、长江流域文明与世界大河流域文明、古国文明交流互鉴的国际文化平台建成，郑州国际文化知名度、美誉度、向心力和凝聚力进一步提升。</w:t>
      </w:r>
    </w:p>
    <w:p>
      <w:pPr>
        <w:pStyle w:val="4"/>
        <w:spacing w:before="156" w:line="560" w:lineRule="exact"/>
        <w:ind w:firstLine="643"/>
        <w:rPr>
          <w:rFonts w:ascii="华文楷体" w:hAnsi="华文楷体" w:eastAsia="华文楷体" w:cs="华文楷体"/>
          <w:color w:val="000000"/>
        </w:rPr>
      </w:pPr>
      <w:r>
        <w:rPr>
          <w:rFonts w:hint="eastAsia"/>
          <w:color w:val="000000"/>
        </w:rPr>
        <w:t>三、</w:t>
      </w:r>
      <w:r>
        <w:rPr>
          <w:rFonts w:hint="eastAsia" w:ascii="仿宋" w:hAnsi="仿宋" w:eastAsia="仿宋"/>
          <w:color w:val="000000"/>
        </w:rPr>
        <w:t>2035</w:t>
      </w:r>
      <w:r>
        <w:rPr>
          <w:rFonts w:hint="eastAsia"/>
          <w:color w:val="000000"/>
        </w:rPr>
        <w:t>远景展望</w:t>
      </w:r>
    </w:p>
    <w:p>
      <w:pPr>
        <w:spacing w:line="560" w:lineRule="exact"/>
        <w:ind w:firstLine="640" w:firstLineChars="200"/>
        <w:rPr>
          <w:color w:val="000000"/>
        </w:rPr>
      </w:pPr>
      <w:r>
        <w:rPr>
          <w:rFonts w:hint="eastAsia"/>
          <w:color w:val="000000"/>
        </w:rPr>
        <w:t>“两带一心”城市文化格局基本形成，建成特色鲜明、结构优化、布局合理的文物保护利用体系，博物馆群和中华文明主题乐园发挥明显引领示范效果，以省会郑州为中心、以“行走河南·读懂中国”为主题的中华文明全景式集中展示地全面建成，黄河历史文化主地标得到广泛认同，郑汴洛世界级黄河文化旅游带建成，郑州成为世界大河文明交流互鉴的综合基地、探寻体验黄河文明的重要窗口，炎黄子孙的寻根之地、中华文化的朝圣之地、中华文明的体验之地、华夏国学的教育之地全面建成。</w:t>
      </w:r>
    </w:p>
    <w:tbl>
      <w:tblPr>
        <w:tblStyle w:val="11"/>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4681"/>
        <w:gridCol w:w="1134"/>
        <w:gridCol w:w="1134"/>
        <w:gridCol w:w="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trPr>
        <w:tc>
          <w:tcPr>
            <w:tcW w:w="8676" w:type="dxa"/>
            <w:gridSpan w:val="5"/>
            <w:shd w:val="clear" w:color="auto" w:fill="auto"/>
          </w:tcPr>
          <w:p>
            <w:pPr>
              <w:pStyle w:val="14"/>
              <w:spacing w:line="560" w:lineRule="exact"/>
              <w:jc w:val="center"/>
              <w:rPr>
                <w:rFonts w:ascii="黑体" w:hAnsi="黑体" w:eastAsia="黑体"/>
              </w:rPr>
            </w:pPr>
            <w:r>
              <w:rPr>
                <w:rFonts w:hint="eastAsia" w:ascii="黑体" w:hAnsi="黑体" w:eastAsia="黑体"/>
                <w:sz w:val="28"/>
                <w:szCs w:val="24"/>
              </w:rPr>
              <w:t>郑州市“十四五”时期文物博物馆事业发展主要指标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735" w:type="dxa"/>
            <w:shd w:val="clear" w:color="auto" w:fill="auto"/>
          </w:tcPr>
          <w:p>
            <w:pPr>
              <w:pStyle w:val="14"/>
              <w:spacing w:line="560" w:lineRule="exact"/>
              <w:jc w:val="center"/>
              <w:rPr>
                <w:rFonts w:ascii="黑体" w:hAnsi="黑体" w:eastAsia="黑体"/>
              </w:rPr>
            </w:pPr>
            <w:r>
              <w:rPr>
                <w:rFonts w:hint="eastAsia" w:ascii="黑体" w:hAnsi="黑体" w:eastAsia="黑体"/>
              </w:rPr>
              <w:t>类型</w:t>
            </w:r>
          </w:p>
        </w:tc>
        <w:tc>
          <w:tcPr>
            <w:tcW w:w="4681" w:type="dxa"/>
            <w:shd w:val="clear" w:color="auto" w:fill="auto"/>
          </w:tcPr>
          <w:p>
            <w:pPr>
              <w:pStyle w:val="14"/>
              <w:spacing w:line="560" w:lineRule="exact"/>
              <w:jc w:val="center"/>
              <w:rPr>
                <w:rFonts w:ascii="黑体" w:hAnsi="黑体" w:eastAsia="黑体"/>
              </w:rPr>
            </w:pPr>
            <w:r>
              <w:rPr>
                <w:rFonts w:hint="eastAsia" w:ascii="黑体" w:hAnsi="黑体" w:eastAsia="黑体"/>
              </w:rPr>
              <w:t>指标</w:t>
            </w:r>
          </w:p>
        </w:tc>
        <w:tc>
          <w:tcPr>
            <w:tcW w:w="1134" w:type="dxa"/>
            <w:shd w:val="clear" w:color="auto" w:fill="auto"/>
          </w:tcPr>
          <w:p>
            <w:pPr>
              <w:pStyle w:val="14"/>
              <w:spacing w:line="560" w:lineRule="exact"/>
              <w:jc w:val="center"/>
              <w:rPr>
                <w:rFonts w:ascii="黑体" w:hAnsi="黑体" w:eastAsia="黑体"/>
              </w:rPr>
            </w:pPr>
            <w:r>
              <w:rPr>
                <w:rFonts w:hint="eastAsia" w:ascii="黑体" w:hAnsi="黑体" w:eastAsia="黑体"/>
              </w:rPr>
              <w:t>2</w:t>
            </w:r>
            <w:r>
              <w:rPr>
                <w:rFonts w:ascii="黑体" w:hAnsi="黑体" w:eastAsia="黑体"/>
              </w:rPr>
              <w:t>020</w:t>
            </w:r>
            <w:r>
              <w:rPr>
                <w:rFonts w:hint="eastAsia" w:ascii="黑体" w:hAnsi="黑体" w:eastAsia="黑体"/>
              </w:rPr>
              <w:t>年</w:t>
            </w:r>
          </w:p>
        </w:tc>
        <w:tc>
          <w:tcPr>
            <w:tcW w:w="1134" w:type="dxa"/>
            <w:shd w:val="clear" w:color="auto" w:fill="auto"/>
          </w:tcPr>
          <w:p>
            <w:pPr>
              <w:pStyle w:val="14"/>
              <w:spacing w:line="560" w:lineRule="exact"/>
              <w:jc w:val="center"/>
              <w:rPr>
                <w:rFonts w:ascii="黑体" w:hAnsi="黑体" w:eastAsia="黑体"/>
              </w:rPr>
            </w:pPr>
            <w:r>
              <w:rPr>
                <w:rFonts w:hint="eastAsia" w:ascii="黑体" w:hAnsi="黑体" w:eastAsia="黑体"/>
              </w:rPr>
              <w:t>2</w:t>
            </w:r>
            <w:r>
              <w:rPr>
                <w:rFonts w:ascii="黑体" w:hAnsi="黑体" w:eastAsia="黑体"/>
              </w:rPr>
              <w:t>025</w:t>
            </w:r>
            <w:r>
              <w:rPr>
                <w:rFonts w:hint="eastAsia" w:ascii="黑体" w:hAnsi="黑体" w:eastAsia="黑体"/>
              </w:rPr>
              <w:t>年</w:t>
            </w:r>
          </w:p>
        </w:tc>
        <w:tc>
          <w:tcPr>
            <w:tcW w:w="992" w:type="dxa"/>
            <w:shd w:val="clear" w:color="auto" w:fill="auto"/>
          </w:tcPr>
          <w:p>
            <w:pPr>
              <w:pStyle w:val="14"/>
              <w:spacing w:line="560" w:lineRule="exact"/>
              <w:jc w:val="center"/>
              <w:rPr>
                <w:rFonts w:ascii="黑体" w:hAnsi="黑体" w:eastAsia="黑体"/>
              </w:rPr>
            </w:pPr>
            <w:r>
              <w:rPr>
                <w:rFonts w:hint="eastAsia" w:ascii="黑体" w:hAnsi="黑体" w:eastAsia="黑体"/>
              </w:rPr>
              <w:t>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restart"/>
            <w:shd w:val="clear" w:color="auto" w:fill="auto"/>
            <w:vAlign w:val="center"/>
          </w:tcPr>
          <w:p>
            <w:pPr>
              <w:pStyle w:val="14"/>
              <w:spacing w:line="480" w:lineRule="exact"/>
              <w:jc w:val="center"/>
              <w:rPr>
                <w:rFonts w:ascii="黑体" w:hAnsi="黑体" w:eastAsia="黑体"/>
              </w:rPr>
            </w:pPr>
            <w:r>
              <w:rPr>
                <w:rFonts w:hint="eastAsia" w:ascii="黑体" w:hAnsi="黑体" w:eastAsia="黑体"/>
              </w:rPr>
              <w:t>资源</w:t>
            </w:r>
          </w:p>
          <w:p>
            <w:pPr>
              <w:pStyle w:val="14"/>
              <w:spacing w:line="480" w:lineRule="exact"/>
              <w:jc w:val="center"/>
              <w:rPr>
                <w:rFonts w:ascii="黑体" w:hAnsi="黑体" w:eastAsia="黑体"/>
              </w:rPr>
            </w:pPr>
            <w:r>
              <w:rPr>
                <w:rFonts w:hint="eastAsia" w:ascii="黑体" w:hAnsi="黑体" w:eastAsia="黑体"/>
              </w:rPr>
              <w:t>管理</w:t>
            </w:r>
          </w:p>
        </w:tc>
        <w:tc>
          <w:tcPr>
            <w:tcW w:w="4681" w:type="dxa"/>
            <w:shd w:val="clear" w:color="auto" w:fill="auto"/>
            <w:vAlign w:val="center"/>
          </w:tcPr>
          <w:p>
            <w:pPr>
              <w:pStyle w:val="14"/>
              <w:spacing w:line="560" w:lineRule="exact"/>
              <w:jc w:val="both"/>
            </w:pPr>
            <w:r>
              <w:rPr>
                <w:rFonts w:hint="eastAsia"/>
              </w:rPr>
              <w:t>国保单位数量（处）</w:t>
            </w:r>
          </w:p>
        </w:tc>
        <w:tc>
          <w:tcPr>
            <w:tcW w:w="1134" w:type="dxa"/>
            <w:shd w:val="clear" w:color="auto" w:fill="auto"/>
            <w:vAlign w:val="center"/>
          </w:tcPr>
          <w:p>
            <w:pPr>
              <w:pStyle w:val="14"/>
              <w:spacing w:line="560" w:lineRule="exact"/>
              <w:jc w:val="center"/>
            </w:pPr>
            <w:r>
              <w:rPr>
                <w:rFonts w:hint="eastAsia"/>
              </w:rPr>
              <w:t>83</w:t>
            </w:r>
          </w:p>
        </w:tc>
        <w:tc>
          <w:tcPr>
            <w:tcW w:w="1134" w:type="dxa"/>
            <w:shd w:val="clear" w:color="auto" w:fill="auto"/>
            <w:vAlign w:val="center"/>
          </w:tcPr>
          <w:p>
            <w:pPr>
              <w:pStyle w:val="14"/>
              <w:spacing w:line="560" w:lineRule="exact"/>
              <w:jc w:val="center"/>
            </w:pPr>
            <w:r>
              <w:rPr>
                <w:rFonts w:hint="eastAsia"/>
              </w:rPr>
              <w:t>88</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0"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省保单位数量（处）</w:t>
            </w:r>
          </w:p>
        </w:tc>
        <w:tc>
          <w:tcPr>
            <w:tcW w:w="1134" w:type="dxa"/>
            <w:shd w:val="clear" w:color="auto" w:fill="auto"/>
            <w:vAlign w:val="center"/>
          </w:tcPr>
          <w:p>
            <w:pPr>
              <w:pStyle w:val="14"/>
              <w:spacing w:line="560" w:lineRule="exact"/>
              <w:jc w:val="center"/>
            </w:pPr>
            <w:r>
              <w:rPr>
                <w:rFonts w:hint="eastAsia"/>
              </w:rPr>
              <w:t>1</w:t>
            </w:r>
            <w:r>
              <w:t>2</w:t>
            </w:r>
            <w:r>
              <w:rPr>
                <w:rFonts w:hint="eastAsia"/>
              </w:rPr>
              <w:t>3</w:t>
            </w:r>
          </w:p>
        </w:tc>
        <w:tc>
          <w:tcPr>
            <w:tcW w:w="1134" w:type="dxa"/>
            <w:shd w:val="clear" w:color="auto" w:fill="auto"/>
            <w:vAlign w:val="center"/>
          </w:tcPr>
          <w:p>
            <w:pPr>
              <w:pStyle w:val="14"/>
              <w:spacing w:line="560" w:lineRule="exact"/>
              <w:jc w:val="center"/>
              <w:rPr>
                <w:lang w:val="en"/>
              </w:rPr>
            </w:pPr>
            <w:r>
              <w:rPr>
                <w:lang w:val="en"/>
              </w:rPr>
              <w:t>147</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735" w:type="dxa"/>
            <w:vMerge w:val="continue"/>
            <w:shd w:val="clear" w:color="auto" w:fill="auto"/>
            <w:vAlign w:val="center"/>
          </w:tcPr>
          <w:p>
            <w:pPr>
              <w:pStyle w:val="14"/>
              <w:spacing w:line="480" w:lineRule="exact"/>
              <w:jc w:val="center"/>
              <w:rPr>
                <w:rFonts w:ascii="黑体" w:hAnsi="黑体" w:eastAsia="黑体"/>
              </w:rPr>
              <w:pPrChange w:id="1"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市保单位数量（处）</w:t>
            </w:r>
          </w:p>
        </w:tc>
        <w:tc>
          <w:tcPr>
            <w:tcW w:w="1134" w:type="dxa"/>
            <w:shd w:val="clear" w:color="auto" w:fill="auto"/>
            <w:vAlign w:val="center"/>
          </w:tcPr>
          <w:p>
            <w:pPr>
              <w:pStyle w:val="14"/>
              <w:spacing w:line="560" w:lineRule="exact"/>
              <w:jc w:val="center"/>
            </w:pPr>
            <w:r>
              <w:rPr>
                <w:rFonts w:hint="eastAsia"/>
              </w:rPr>
              <w:t>2</w:t>
            </w:r>
            <w:r>
              <w:t>46</w:t>
            </w:r>
          </w:p>
        </w:tc>
        <w:tc>
          <w:tcPr>
            <w:tcW w:w="1134" w:type="dxa"/>
            <w:shd w:val="clear" w:color="auto" w:fill="auto"/>
            <w:vAlign w:val="center"/>
          </w:tcPr>
          <w:p>
            <w:pPr>
              <w:pStyle w:val="14"/>
              <w:spacing w:line="560" w:lineRule="exact"/>
              <w:jc w:val="center"/>
              <w:rPr>
                <w:lang w:val="en"/>
              </w:rPr>
            </w:pPr>
            <w:r>
              <w:rPr>
                <w:lang w:val="en"/>
              </w:rPr>
              <w:t>280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restart"/>
            <w:shd w:val="clear" w:color="auto" w:fill="auto"/>
            <w:vAlign w:val="center"/>
          </w:tcPr>
          <w:p>
            <w:pPr>
              <w:pStyle w:val="14"/>
              <w:spacing w:line="480" w:lineRule="exact"/>
              <w:jc w:val="center"/>
              <w:rPr>
                <w:rFonts w:ascii="黑体" w:hAnsi="黑体" w:eastAsia="黑体"/>
              </w:rPr>
            </w:pPr>
            <w:r>
              <w:rPr>
                <w:rFonts w:hint="eastAsia" w:ascii="黑体" w:hAnsi="黑体" w:eastAsia="黑体"/>
              </w:rPr>
              <w:t>灾后修复</w:t>
            </w:r>
          </w:p>
        </w:tc>
        <w:tc>
          <w:tcPr>
            <w:tcW w:w="4681" w:type="dxa"/>
            <w:shd w:val="clear" w:color="auto" w:fill="auto"/>
            <w:vAlign w:val="center"/>
          </w:tcPr>
          <w:p>
            <w:pPr>
              <w:pStyle w:val="14"/>
              <w:spacing w:line="560" w:lineRule="exact"/>
              <w:jc w:val="both"/>
            </w:pPr>
            <w:r>
              <w:rPr>
                <w:rFonts w:hint="eastAsia"/>
              </w:rPr>
              <w:t>受灾受损文物灾后抢险项目数量（个）</w:t>
            </w:r>
          </w:p>
        </w:tc>
        <w:tc>
          <w:tcPr>
            <w:tcW w:w="1134" w:type="dxa"/>
            <w:shd w:val="clear" w:color="auto" w:fill="auto"/>
            <w:vAlign w:val="center"/>
          </w:tcPr>
          <w:p>
            <w:pPr>
              <w:pStyle w:val="14"/>
              <w:spacing w:line="560" w:lineRule="exact"/>
              <w:jc w:val="center"/>
            </w:pPr>
            <w:r>
              <w:rPr>
                <w:rFonts w:hint="eastAsia"/>
              </w:rPr>
              <w:t>—</w:t>
            </w:r>
          </w:p>
        </w:tc>
        <w:tc>
          <w:tcPr>
            <w:tcW w:w="1134" w:type="dxa"/>
            <w:shd w:val="clear" w:color="auto" w:fill="auto"/>
            <w:vAlign w:val="center"/>
          </w:tcPr>
          <w:p>
            <w:pPr>
              <w:pStyle w:val="14"/>
              <w:spacing w:line="560" w:lineRule="exact"/>
              <w:jc w:val="center"/>
              <w:rPr>
                <w:lang w:val="en"/>
              </w:rPr>
            </w:pPr>
            <w:r>
              <w:rPr>
                <w:lang w:val="en"/>
              </w:rPr>
              <w:t>73</w:t>
            </w:r>
          </w:p>
        </w:tc>
        <w:tc>
          <w:tcPr>
            <w:tcW w:w="992" w:type="dxa"/>
            <w:shd w:val="clear" w:color="auto" w:fill="auto"/>
            <w:vAlign w:val="center"/>
          </w:tcPr>
          <w:p>
            <w:pPr>
              <w:pStyle w:val="14"/>
              <w:spacing w:line="560" w:lineRule="exact"/>
              <w:jc w:val="both"/>
            </w:pPr>
            <w:r>
              <w:rPr>
                <w:rFonts w:hint="eastAsia"/>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735" w:type="dxa"/>
            <w:vMerge w:val="continue"/>
            <w:shd w:val="clear" w:color="auto" w:fill="auto"/>
            <w:vAlign w:val="center"/>
          </w:tcPr>
          <w:p>
            <w:pPr>
              <w:pStyle w:val="14"/>
              <w:spacing w:line="480" w:lineRule="exact"/>
              <w:jc w:val="center"/>
              <w:rPr>
                <w:rFonts w:ascii="黑体" w:hAnsi="黑体" w:eastAsia="黑体"/>
              </w:rPr>
              <w:pPrChange w:id="2"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受灾受损文物灾后修复项目数量（个）</w:t>
            </w:r>
          </w:p>
        </w:tc>
        <w:tc>
          <w:tcPr>
            <w:tcW w:w="1134" w:type="dxa"/>
            <w:shd w:val="clear" w:color="auto" w:fill="auto"/>
            <w:vAlign w:val="center"/>
          </w:tcPr>
          <w:p>
            <w:pPr>
              <w:pStyle w:val="14"/>
              <w:spacing w:line="560" w:lineRule="exact"/>
              <w:jc w:val="center"/>
            </w:pPr>
            <w:r>
              <w:rPr>
                <w:rFonts w:hint="eastAsia"/>
              </w:rPr>
              <w:t>—</w:t>
            </w:r>
          </w:p>
        </w:tc>
        <w:tc>
          <w:tcPr>
            <w:tcW w:w="1134" w:type="dxa"/>
            <w:shd w:val="clear" w:color="auto" w:fill="auto"/>
            <w:vAlign w:val="center"/>
          </w:tcPr>
          <w:p>
            <w:pPr>
              <w:pStyle w:val="14"/>
              <w:spacing w:line="560" w:lineRule="exact"/>
              <w:jc w:val="center"/>
              <w:rPr>
                <w:lang w:val="en"/>
              </w:rPr>
            </w:pPr>
            <w:r>
              <w:rPr>
                <w:rFonts w:hint="eastAsia"/>
              </w:rPr>
              <w:t>4</w:t>
            </w:r>
            <w:r>
              <w:rPr>
                <w:lang w:val="en"/>
              </w:rPr>
              <w:t>9</w:t>
            </w:r>
          </w:p>
        </w:tc>
        <w:tc>
          <w:tcPr>
            <w:tcW w:w="992" w:type="dxa"/>
            <w:shd w:val="clear" w:color="auto" w:fill="auto"/>
            <w:vAlign w:val="center"/>
          </w:tcPr>
          <w:p>
            <w:pPr>
              <w:pStyle w:val="14"/>
              <w:spacing w:line="560" w:lineRule="exact"/>
              <w:jc w:val="both"/>
            </w:pPr>
            <w:r>
              <w:rPr>
                <w:rFonts w:hint="eastAsia"/>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restart"/>
            <w:shd w:val="clear" w:color="auto" w:fill="auto"/>
            <w:vAlign w:val="center"/>
          </w:tcPr>
          <w:p>
            <w:pPr>
              <w:pStyle w:val="14"/>
              <w:spacing w:line="480" w:lineRule="exact"/>
              <w:jc w:val="center"/>
              <w:rPr>
                <w:rFonts w:ascii="黑体" w:hAnsi="黑体" w:eastAsia="黑体"/>
              </w:rPr>
            </w:pPr>
            <w:r>
              <w:rPr>
                <w:rFonts w:hint="eastAsia" w:ascii="黑体" w:hAnsi="黑体" w:eastAsia="黑体"/>
              </w:rPr>
              <w:t>文物资源管理和文物安全</w:t>
            </w:r>
          </w:p>
        </w:tc>
        <w:tc>
          <w:tcPr>
            <w:tcW w:w="4681" w:type="dxa"/>
            <w:shd w:val="clear" w:color="auto" w:fill="auto"/>
            <w:vAlign w:val="center"/>
          </w:tcPr>
          <w:p>
            <w:pPr>
              <w:pStyle w:val="14"/>
              <w:spacing w:line="560" w:lineRule="exact"/>
              <w:jc w:val="both"/>
            </w:pPr>
            <w:r>
              <w:rPr>
                <w:rFonts w:hint="eastAsia"/>
              </w:rPr>
              <w:t>国保单位“四有”工作完成率（%）</w:t>
            </w:r>
          </w:p>
        </w:tc>
        <w:tc>
          <w:tcPr>
            <w:tcW w:w="1134" w:type="dxa"/>
            <w:shd w:val="clear" w:color="auto" w:fill="auto"/>
            <w:vAlign w:val="center"/>
          </w:tcPr>
          <w:p>
            <w:pPr>
              <w:pStyle w:val="14"/>
              <w:spacing w:line="560" w:lineRule="exact"/>
              <w:jc w:val="center"/>
              <w:rPr>
                <w:lang w:val="en"/>
              </w:rPr>
            </w:pPr>
            <w:r>
              <w:rPr>
                <w:lang w:val="en"/>
              </w:rPr>
              <w:t>89</w:t>
            </w:r>
          </w:p>
        </w:tc>
        <w:tc>
          <w:tcPr>
            <w:tcW w:w="1134" w:type="dxa"/>
            <w:shd w:val="clear" w:color="auto" w:fill="auto"/>
            <w:vAlign w:val="center"/>
          </w:tcPr>
          <w:p>
            <w:pPr>
              <w:pStyle w:val="14"/>
              <w:spacing w:line="560" w:lineRule="exact"/>
              <w:jc w:val="center"/>
              <w:rPr>
                <w:lang w:val="en"/>
              </w:rPr>
            </w:pPr>
            <w:r>
              <w:rPr>
                <w:lang w:val="en"/>
              </w:rPr>
              <w:t>100</w:t>
            </w:r>
          </w:p>
        </w:tc>
        <w:tc>
          <w:tcPr>
            <w:tcW w:w="992" w:type="dxa"/>
            <w:shd w:val="clear" w:color="auto" w:fill="auto"/>
            <w:vAlign w:val="center"/>
          </w:tcPr>
          <w:p>
            <w:pPr>
              <w:pStyle w:val="14"/>
              <w:spacing w:line="560" w:lineRule="exact"/>
              <w:jc w:val="center"/>
            </w:pPr>
            <w:r>
              <w:rPr>
                <w:rFonts w:hint="eastAsia"/>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3"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省保单位“四有”工作完成率（%）</w:t>
            </w:r>
          </w:p>
        </w:tc>
        <w:tc>
          <w:tcPr>
            <w:tcW w:w="1134" w:type="dxa"/>
            <w:shd w:val="clear" w:color="auto" w:fill="auto"/>
            <w:vAlign w:val="center"/>
          </w:tcPr>
          <w:p>
            <w:pPr>
              <w:pStyle w:val="14"/>
              <w:spacing w:line="560" w:lineRule="exact"/>
              <w:jc w:val="center"/>
              <w:rPr>
                <w:lang w:val="en"/>
              </w:rPr>
            </w:pPr>
            <w:r>
              <w:rPr>
                <w:lang w:val="en"/>
              </w:rPr>
              <w:t>89.7</w:t>
            </w:r>
          </w:p>
        </w:tc>
        <w:tc>
          <w:tcPr>
            <w:tcW w:w="1134" w:type="dxa"/>
            <w:shd w:val="clear" w:color="auto" w:fill="auto"/>
            <w:vAlign w:val="center"/>
          </w:tcPr>
          <w:p>
            <w:pPr>
              <w:pStyle w:val="14"/>
              <w:spacing w:line="560" w:lineRule="exact"/>
              <w:jc w:val="center"/>
              <w:rPr>
                <w:lang w:val="en"/>
              </w:rPr>
            </w:pPr>
            <w:r>
              <w:rPr>
                <w:lang w:val="en"/>
              </w:rPr>
              <w:t>100</w:t>
            </w:r>
          </w:p>
        </w:tc>
        <w:tc>
          <w:tcPr>
            <w:tcW w:w="992" w:type="dxa"/>
            <w:shd w:val="clear" w:color="auto" w:fill="auto"/>
            <w:vAlign w:val="center"/>
          </w:tcPr>
          <w:p>
            <w:pPr>
              <w:pStyle w:val="14"/>
              <w:spacing w:line="560" w:lineRule="exact"/>
              <w:jc w:val="center"/>
            </w:pPr>
            <w:r>
              <w:rPr>
                <w:rFonts w:hint="eastAsia"/>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4"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国保单位规划编制率（%）</w:t>
            </w:r>
          </w:p>
        </w:tc>
        <w:tc>
          <w:tcPr>
            <w:tcW w:w="1134" w:type="dxa"/>
            <w:shd w:val="clear" w:color="auto" w:fill="auto"/>
            <w:vAlign w:val="center"/>
          </w:tcPr>
          <w:p>
            <w:pPr>
              <w:pStyle w:val="14"/>
              <w:spacing w:line="560" w:lineRule="exact"/>
              <w:jc w:val="center"/>
              <w:rPr>
                <w:lang w:val="en"/>
              </w:rPr>
            </w:pPr>
            <w:r>
              <w:rPr>
                <w:lang w:val="en"/>
              </w:rPr>
              <w:t>72</w:t>
            </w:r>
          </w:p>
        </w:tc>
        <w:tc>
          <w:tcPr>
            <w:tcW w:w="1134" w:type="dxa"/>
            <w:shd w:val="clear" w:color="auto" w:fill="auto"/>
            <w:vAlign w:val="center"/>
          </w:tcPr>
          <w:p>
            <w:pPr>
              <w:pStyle w:val="14"/>
              <w:spacing w:line="560" w:lineRule="exact"/>
              <w:jc w:val="center"/>
              <w:rPr>
                <w:lang w:val="en"/>
              </w:rPr>
            </w:pPr>
            <w:r>
              <w:rPr>
                <w:lang w:val="en"/>
              </w:rPr>
              <w:t>90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5"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省保单位规划编制率（%）</w:t>
            </w:r>
          </w:p>
        </w:tc>
        <w:tc>
          <w:tcPr>
            <w:tcW w:w="1134" w:type="dxa"/>
            <w:shd w:val="clear" w:color="auto" w:fill="auto"/>
            <w:vAlign w:val="center"/>
          </w:tcPr>
          <w:p>
            <w:pPr>
              <w:pStyle w:val="14"/>
              <w:spacing w:line="560" w:lineRule="exact"/>
              <w:jc w:val="center"/>
              <w:rPr>
                <w:lang w:val="en"/>
              </w:rPr>
            </w:pPr>
            <w:r>
              <w:rPr>
                <w:lang w:val="en"/>
              </w:rPr>
              <w:t>17</w:t>
            </w:r>
          </w:p>
        </w:tc>
        <w:tc>
          <w:tcPr>
            <w:tcW w:w="1134" w:type="dxa"/>
            <w:shd w:val="clear" w:color="auto" w:fill="auto"/>
            <w:vAlign w:val="center"/>
          </w:tcPr>
          <w:p>
            <w:pPr>
              <w:pStyle w:val="14"/>
              <w:spacing w:line="560" w:lineRule="exact"/>
              <w:jc w:val="center"/>
              <w:rPr>
                <w:lang w:val="en"/>
              </w:rPr>
            </w:pPr>
            <w:r>
              <w:rPr>
                <w:rFonts w:hint="eastAsia"/>
              </w:rPr>
              <w:t>6</w:t>
            </w:r>
            <w:r>
              <w:rPr>
                <w:lang w:val="en"/>
              </w:rPr>
              <w:t>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6"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市保以上古建维修工程完成率（%）</w:t>
            </w:r>
          </w:p>
        </w:tc>
        <w:tc>
          <w:tcPr>
            <w:tcW w:w="1134" w:type="dxa"/>
            <w:shd w:val="clear" w:color="auto" w:fill="auto"/>
            <w:vAlign w:val="center"/>
          </w:tcPr>
          <w:p>
            <w:pPr>
              <w:pStyle w:val="14"/>
              <w:spacing w:line="560" w:lineRule="exact"/>
              <w:jc w:val="center"/>
              <w:rPr>
                <w:lang w:val="en"/>
              </w:rPr>
            </w:pPr>
            <w:r>
              <w:rPr>
                <w:lang w:val="en"/>
              </w:rPr>
              <w:t>60</w:t>
            </w:r>
          </w:p>
        </w:tc>
        <w:tc>
          <w:tcPr>
            <w:tcW w:w="1134" w:type="dxa"/>
            <w:shd w:val="clear" w:color="auto" w:fill="auto"/>
            <w:vAlign w:val="center"/>
          </w:tcPr>
          <w:p>
            <w:pPr>
              <w:pStyle w:val="14"/>
              <w:spacing w:line="560" w:lineRule="exact"/>
              <w:jc w:val="center"/>
              <w:rPr>
                <w:lang w:val="en"/>
              </w:rPr>
            </w:pPr>
            <w:r>
              <w:rPr>
                <w:lang w:val="en"/>
              </w:rPr>
              <w:t>80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7"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国保单位“三防”设施覆盖率（%）</w:t>
            </w:r>
          </w:p>
        </w:tc>
        <w:tc>
          <w:tcPr>
            <w:tcW w:w="1134" w:type="dxa"/>
            <w:shd w:val="clear" w:color="auto" w:fill="auto"/>
            <w:vAlign w:val="center"/>
          </w:tcPr>
          <w:p>
            <w:pPr>
              <w:pStyle w:val="14"/>
              <w:spacing w:line="560" w:lineRule="exact"/>
              <w:jc w:val="center"/>
              <w:rPr>
                <w:lang w:val="en"/>
              </w:rPr>
            </w:pPr>
            <w:r>
              <w:rPr>
                <w:lang w:val="en"/>
              </w:rPr>
              <w:t>53</w:t>
            </w:r>
          </w:p>
        </w:tc>
        <w:tc>
          <w:tcPr>
            <w:tcW w:w="1134" w:type="dxa"/>
            <w:shd w:val="clear" w:color="auto" w:fill="auto"/>
            <w:vAlign w:val="center"/>
          </w:tcPr>
          <w:p>
            <w:pPr>
              <w:pStyle w:val="14"/>
              <w:spacing w:line="560" w:lineRule="exact"/>
              <w:jc w:val="center"/>
              <w:rPr>
                <w:lang w:val="en"/>
              </w:rPr>
            </w:pPr>
            <w:r>
              <w:rPr>
                <w:lang w:val="en"/>
              </w:rPr>
              <w:t>75</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8"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省保单位“三防”设施覆盖率（%）</w:t>
            </w:r>
          </w:p>
        </w:tc>
        <w:tc>
          <w:tcPr>
            <w:tcW w:w="1134" w:type="dxa"/>
            <w:shd w:val="clear" w:color="auto" w:fill="auto"/>
            <w:vAlign w:val="center"/>
          </w:tcPr>
          <w:p>
            <w:pPr>
              <w:pStyle w:val="14"/>
              <w:spacing w:line="560" w:lineRule="exact"/>
              <w:jc w:val="center"/>
              <w:rPr>
                <w:lang w:val="en"/>
              </w:rPr>
            </w:pPr>
            <w:r>
              <w:rPr>
                <w:lang w:val="en"/>
              </w:rPr>
              <w:t>11</w:t>
            </w:r>
          </w:p>
        </w:tc>
        <w:tc>
          <w:tcPr>
            <w:tcW w:w="1134" w:type="dxa"/>
            <w:shd w:val="clear" w:color="auto" w:fill="auto"/>
            <w:vAlign w:val="center"/>
          </w:tcPr>
          <w:p>
            <w:pPr>
              <w:pStyle w:val="14"/>
              <w:spacing w:line="560" w:lineRule="exact"/>
              <w:jc w:val="center"/>
              <w:rPr>
                <w:lang w:val="en"/>
              </w:rPr>
            </w:pPr>
            <w:r>
              <w:rPr>
                <w:lang w:val="en"/>
              </w:rPr>
              <w:t>30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restart"/>
            <w:shd w:val="clear" w:color="auto" w:fill="auto"/>
            <w:vAlign w:val="center"/>
          </w:tcPr>
          <w:p>
            <w:pPr>
              <w:pStyle w:val="14"/>
              <w:spacing w:line="480" w:lineRule="exact"/>
              <w:jc w:val="center"/>
              <w:rPr>
                <w:rFonts w:ascii="黑体" w:hAnsi="黑体" w:eastAsia="黑体"/>
              </w:rPr>
            </w:pPr>
            <w:r>
              <w:rPr>
                <w:rFonts w:hint="eastAsia" w:ascii="黑体" w:hAnsi="黑体" w:eastAsia="黑体"/>
              </w:rPr>
              <w:t>博物馆、纪念馆</w:t>
            </w:r>
          </w:p>
        </w:tc>
        <w:tc>
          <w:tcPr>
            <w:tcW w:w="4681" w:type="dxa"/>
            <w:shd w:val="clear" w:color="auto" w:fill="auto"/>
            <w:vAlign w:val="center"/>
          </w:tcPr>
          <w:p>
            <w:pPr>
              <w:pStyle w:val="14"/>
              <w:spacing w:line="560" w:lineRule="exact"/>
              <w:jc w:val="both"/>
            </w:pPr>
            <w:r>
              <w:rPr>
                <w:rFonts w:hint="eastAsia"/>
              </w:rPr>
              <w:t>备案博物馆数量（个）</w:t>
            </w:r>
          </w:p>
        </w:tc>
        <w:tc>
          <w:tcPr>
            <w:tcW w:w="1134" w:type="dxa"/>
            <w:shd w:val="clear" w:color="auto" w:fill="auto"/>
            <w:vAlign w:val="center"/>
          </w:tcPr>
          <w:p>
            <w:pPr>
              <w:pStyle w:val="14"/>
              <w:spacing w:line="560" w:lineRule="exact"/>
              <w:jc w:val="center"/>
              <w:rPr>
                <w:lang w:val="en"/>
              </w:rPr>
            </w:pPr>
            <w:r>
              <w:rPr>
                <w:lang w:val="en"/>
              </w:rPr>
              <w:t>40</w:t>
            </w:r>
          </w:p>
        </w:tc>
        <w:tc>
          <w:tcPr>
            <w:tcW w:w="1134" w:type="dxa"/>
            <w:shd w:val="clear" w:color="auto" w:fill="auto"/>
            <w:vAlign w:val="center"/>
          </w:tcPr>
          <w:p>
            <w:pPr>
              <w:pStyle w:val="14"/>
              <w:spacing w:line="560" w:lineRule="exact"/>
              <w:jc w:val="center"/>
              <w:rPr>
                <w:lang w:val="en"/>
              </w:rPr>
            </w:pPr>
            <w:r>
              <w:rPr>
                <w:lang w:val="en"/>
              </w:rPr>
              <w:t>60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480" w:lineRule="exact"/>
              <w:jc w:val="center"/>
              <w:rPr>
                <w:rFonts w:ascii="黑体" w:hAnsi="黑体" w:eastAsia="黑体"/>
              </w:rPr>
              <w:pPrChange w:id="9"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年举办陈列展览数量（个）</w:t>
            </w:r>
          </w:p>
        </w:tc>
        <w:tc>
          <w:tcPr>
            <w:tcW w:w="1134" w:type="dxa"/>
            <w:shd w:val="clear" w:color="auto" w:fill="auto"/>
            <w:vAlign w:val="center"/>
          </w:tcPr>
          <w:p>
            <w:pPr>
              <w:pStyle w:val="14"/>
              <w:spacing w:line="560" w:lineRule="exact"/>
              <w:jc w:val="center"/>
              <w:rPr>
                <w:lang w:val="en"/>
              </w:rPr>
            </w:pPr>
            <w:r>
              <w:rPr>
                <w:lang w:val="en"/>
              </w:rPr>
              <w:t>100</w:t>
            </w:r>
          </w:p>
        </w:tc>
        <w:tc>
          <w:tcPr>
            <w:tcW w:w="1134" w:type="dxa"/>
            <w:shd w:val="clear" w:color="auto" w:fill="auto"/>
            <w:vAlign w:val="center"/>
          </w:tcPr>
          <w:p>
            <w:pPr>
              <w:pStyle w:val="14"/>
              <w:spacing w:line="560" w:lineRule="exact"/>
              <w:jc w:val="center"/>
              <w:rPr>
                <w:lang w:val="en"/>
              </w:rPr>
            </w:pPr>
            <w:r>
              <w:rPr>
                <w:lang w:val="en"/>
              </w:rPr>
              <w:t>200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735" w:type="dxa"/>
            <w:vMerge w:val="continue"/>
            <w:shd w:val="clear" w:color="auto" w:fill="auto"/>
            <w:vAlign w:val="center"/>
          </w:tcPr>
          <w:p>
            <w:pPr>
              <w:pStyle w:val="14"/>
              <w:spacing w:line="480" w:lineRule="exact"/>
              <w:jc w:val="center"/>
              <w:rPr>
                <w:rFonts w:ascii="黑体" w:hAnsi="黑体" w:eastAsia="黑体"/>
              </w:rPr>
              <w:pPrChange w:id="10" w:author="xb21cn" w:date="2022-08-30T10:52:00Z">
                <w:pPr>
                  <w:pStyle w:val="14"/>
                  <w:spacing w:line="560" w:lineRule="exact"/>
                  <w:jc w:val="center"/>
                </w:pPr>
              </w:pPrChange>
            </w:pPr>
          </w:p>
        </w:tc>
        <w:tc>
          <w:tcPr>
            <w:tcW w:w="4681" w:type="dxa"/>
            <w:shd w:val="clear" w:color="auto" w:fill="auto"/>
            <w:vAlign w:val="center"/>
          </w:tcPr>
          <w:p>
            <w:pPr>
              <w:pStyle w:val="14"/>
              <w:spacing w:line="560" w:lineRule="exact"/>
              <w:jc w:val="both"/>
            </w:pPr>
            <w:r>
              <w:rPr>
                <w:rFonts w:hint="eastAsia"/>
              </w:rPr>
              <w:t>年观众人数（万人次）</w:t>
            </w:r>
          </w:p>
        </w:tc>
        <w:tc>
          <w:tcPr>
            <w:tcW w:w="1134" w:type="dxa"/>
            <w:shd w:val="clear" w:color="auto" w:fill="auto"/>
            <w:vAlign w:val="center"/>
          </w:tcPr>
          <w:p>
            <w:pPr>
              <w:pStyle w:val="14"/>
              <w:spacing w:line="560" w:lineRule="exact"/>
              <w:jc w:val="center"/>
            </w:pPr>
            <w:r>
              <w:rPr>
                <w:lang w:val="en"/>
              </w:rPr>
              <w:t>4</w:t>
            </w:r>
            <w:r>
              <w:rPr>
                <w:rFonts w:hint="eastAsia"/>
              </w:rPr>
              <w:t>00</w:t>
            </w:r>
          </w:p>
        </w:tc>
        <w:tc>
          <w:tcPr>
            <w:tcW w:w="1134" w:type="dxa"/>
            <w:shd w:val="clear" w:color="auto" w:fill="auto"/>
            <w:vAlign w:val="center"/>
          </w:tcPr>
          <w:p>
            <w:pPr>
              <w:pStyle w:val="14"/>
              <w:spacing w:line="560" w:lineRule="exact"/>
              <w:jc w:val="center"/>
            </w:pPr>
            <w:r>
              <w:rPr>
                <w:lang w:val="en"/>
              </w:rPr>
              <w:t>5</w:t>
            </w:r>
            <w:r>
              <w:rPr>
                <w:rFonts w:hint="eastAsia"/>
              </w:rPr>
              <w:t>00</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restart"/>
            <w:shd w:val="clear" w:color="auto" w:fill="auto"/>
            <w:vAlign w:val="center"/>
          </w:tcPr>
          <w:p>
            <w:pPr>
              <w:pStyle w:val="14"/>
              <w:spacing w:line="480" w:lineRule="exact"/>
              <w:jc w:val="center"/>
              <w:rPr>
                <w:rFonts w:ascii="黑体" w:hAnsi="黑体" w:eastAsia="黑体"/>
              </w:rPr>
            </w:pPr>
            <w:r>
              <w:rPr>
                <w:rFonts w:hint="eastAsia" w:ascii="黑体" w:hAnsi="黑体" w:eastAsia="黑体"/>
              </w:rPr>
              <w:t>人才队伍</w:t>
            </w:r>
          </w:p>
        </w:tc>
        <w:tc>
          <w:tcPr>
            <w:tcW w:w="4681" w:type="dxa"/>
            <w:shd w:val="clear" w:color="auto" w:fill="auto"/>
            <w:vAlign w:val="center"/>
          </w:tcPr>
          <w:p>
            <w:pPr>
              <w:pStyle w:val="14"/>
              <w:spacing w:line="560" w:lineRule="exact"/>
              <w:jc w:val="both"/>
              <w:rPr>
                <w:lang w:val="en"/>
              </w:rPr>
            </w:pPr>
            <w:r>
              <w:rPr>
                <w:rFonts w:hint="eastAsia"/>
                <w:lang w:val="en"/>
              </w:rPr>
              <w:t>文物机构从业人员数量</w:t>
            </w:r>
          </w:p>
        </w:tc>
        <w:tc>
          <w:tcPr>
            <w:tcW w:w="1134" w:type="dxa"/>
            <w:shd w:val="clear" w:color="auto" w:fill="auto"/>
            <w:vAlign w:val="center"/>
          </w:tcPr>
          <w:p>
            <w:pPr>
              <w:pStyle w:val="14"/>
              <w:spacing w:line="560" w:lineRule="exact"/>
              <w:jc w:val="center"/>
              <w:rPr>
                <w:lang w:val="en"/>
              </w:rPr>
            </w:pPr>
            <w:r>
              <w:rPr>
                <w:rFonts w:hint="eastAsia"/>
              </w:rPr>
              <w:t>—</w:t>
            </w:r>
          </w:p>
        </w:tc>
        <w:tc>
          <w:tcPr>
            <w:tcW w:w="1134" w:type="dxa"/>
            <w:shd w:val="clear" w:color="auto" w:fill="auto"/>
            <w:vAlign w:val="center"/>
          </w:tcPr>
          <w:p>
            <w:pPr>
              <w:pStyle w:val="14"/>
              <w:spacing w:line="560" w:lineRule="exact"/>
              <w:jc w:val="center"/>
            </w:pPr>
            <w:r>
              <w:rPr>
                <w:rFonts w:hint="eastAsia"/>
                <w:lang w:val="en"/>
              </w:rPr>
              <w:t>增加</w:t>
            </w:r>
            <w:r>
              <w:rPr>
                <w:rFonts w:hint="eastAsia"/>
              </w:rPr>
              <w:t>5%</w:t>
            </w:r>
          </w:p>
        </w:tc>
        <w:tc>
          <w:tcPr>
            <w:tcW w:w="992" w:type="dxa"/>
            <w:shd w:val="clear" w:color="auto" w:fill="auto"/>
            <w:vAlign w:val="center"/>
          </w:tcPr>
          <w:p>
            <w:pPr>
              <w:pStyle w:val="14"/>
              <w:spacing w:line="560" w:lineRule="exact"/>
              <w:jc w:val="center"/>
            </w:pPr>
            <w:r>
              <w:rPr>
                <w:rFonts w:hint="eastAsia"/>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vMerge w:val="continue"/>
            <w:shd w:val="clear" w:color="auto" w:fill="auto"/>
            <w:vAlign w:val="center"/>
          </w:tcPr>
          <w:p>
            <w:pPr>
              <w:pStyle w:val="14"/>
              <w:spacing w:line="560" w:lineRule="exact"/>
              <w:jc w:val="center"/>
              <w:rPr>
                <w:rFonts w:ascii="黑体" w:hAnsi="黑体" w:eastAsia="黑体"/>
              </w:rPr>
            </w:pPr>
          </w:p>
        </w:tc>
        <w:tc>
          <w:tcPr>
            <w:tcW w:w="4681" w:type="dxa"/>
            <w:shd w:val="clear" w:color="auto" w:fill="auto"/>
            <w:vAlign w:val="center"/>
          </w:tcPr>
          <w:p>
            <w:pPr>
              <w:pStyle w:val="14"/>
              <w:spacing w:line="560" w:lineRule="exact"/>
              <w:jc w:val="both"/>
            </w:pPr>
            <w:r>
              <w:rPr>
                <w:rFonts w:hint="eastAsia"/>
              </w:rPr>
              <w:t>考古从业人员数量</w:t>
            </w:r>
          </w:p>
        </w:tc>
        <w:tc>
          <w:tcPr>
            <w:tcW w:w="1134" w:type="dxa"/>
            <w:shd w:val="clear" w:color="auto" w:fill="auto"/>
            <w:vAlign w:val="center"/>
          </w:tcPr>
          <w:p>
            <w:pPr>
              <w:pStyle w:val="14"/>
              <w:spacing w:line="560" w:lineRule="exact"/>
              <w:jc w:val="center"/>
              <w:rPr>
                <w:lang w:val="en"/>
              </w:rPr>
            </w:pPr>
            <w:r>
              <w:rPr>
                <w:rFonts w:hint="eastAsia"/>
              </w:rPr>
              <w:t>—</w:t>
            </w:r>
          </w:p>
        </w:tc>
        <w:tc>
          <w:tcPr>
            <w:tcW w:w="1134" w:type="dxa"/>
            <w:shd w:val="clear" w:color="auto" w:fill="auto"/>
            <w:vAlign w:val="center"/>
          </w:tcPr>
          <w:p>
            <w:pPr>
              <w:pStyle w:val="14"/>
              <w:spacing w:line="560" w:lineRule="exact"/>
              <w:jc w:val="center"/>
            </w:pPr>
            <w:r>
              <w:rPr>
                <w:rFonts w:hint="eastAsia"/>
                <w:lang w:val="en"/>
              </w:rPr>
              <w:t>增加</w:t>
            </w:r>
            <w:r>
              <w:rPr>
                <w:rFonts w:hint="eastAsia"/>
              </w:rPr>
              <w:t>10%</w:t>
            </w:r>
          </w:p>
        </w:tc>
        <w:tc>
          <w:tcPr>
            <w:tcW w:w="992" w:type="dxa"/>
            <w:shd w:val="clear" w:color="auto" w:fill="auto"/>
            <w:vAlign w:val="center"/>
          </w:tcPr>
          <w:p>
            <w:pPr>
              <w:pStyle w:val="14"/>
              <w:spacing w:line="560" w:lineRule="exact"/>
              <w:jc w:val="center"/>
            </w:pPr>
            <w:r>
              <w:rPr>
                <w:rFonts w:hint="eastAsia"/>
              </w:rPr>
              <w:t>预期性</w:t>
            </w:r>
          </w:p>
        </w:tc>
      </w:tr>
    </w:tbl>
    <w:p/>
    <w:p>
      <w:pPr>
        <w:pStyle w:val="14"/>
        <w:rPr>
          <w:rFonts w:eastAsia="黑体"/>
          <w:kern w:val="44"/>
          <w:szCs w:val="44"/>
        </w:rPr>
      </w:pPr>
      <w:r>
        <w:br w:type="page"/>
      </w:r>
    </w:p>
    <w:p>
      <w:pPr>
        <w:pStyle w:val="3"/>
      </w:pPr>
      <w:r>
        <w:rPr>
          <w:rFonts w:hint="eastAsia"/>
        </w:rPr>
        <w:t xml:space="preserve">第二章 </w:t>
      </w:r>
      <w:r>
        <w:t xml:space="preserve"> </w:t>
      </w:r>
      <w:r>
        <w:rPr>
          <w:rFonts w:hint="eastAsia"/>
        </w:rPr>
        <w:t>重点</w:t>
      </w:r>
      <w:r>
        <w:t>任务</w:t>
      </w:r>
    </w:p>
    <w:p>
      <w:pPr>
        <w:pStyle w:val="4"/>
        <w:spacing w:before="156" w:line="560" w:lineRule="exact"/>
        <w:ind w:firstLine="643"/>
        <w:rPr>
          <w:color w:val="000000"/>
        </w:rPr>
      </w:pPr>
      <w:r>
        <w:rPr>
          <w:rFonts w:hint="eastAsia"/>
          <w:color w:val="000000"/>
        </w:rPr>
        <w:t>一、全力实施灾后修复，服务社会发展大局</w:t>
      </w:r>
    </w:p>
    <w:p>
      <w:pPr>
        <w:tabs>
          <w:tab w:val="left" w:pos="1600"/>
        </w:tabs>
        <w:spacing w:line="560" w:lineRule="exact"/>
        <w:ind w:firstLine="640" w:firstLineChars="200"/>
        <w:rPr>
          <w:rFonts w:cs="仿宋"/>
          <w:color w:val="000000"/>
        </w:rPr>
      </w:pPr>
      <w:r>
        <w:rPr>
          <w:rFonts w:hint="eastAsia" w:cs="仿宋"/>
          <w:color w:val="000000"/>
        </w:rPr>
        <w:t>以全面提升文物工作防灾抗灾综合能力为目标，巩固受灾受损文物抢险加固成果，加快完成受损文物修缮修复，系统做好文物保护单位和文博场馆防灾抗灾体系建设，促进我市文物保护措施范围升级扩展、防灾抗灾能力大幅增强，确保文物安全和群众生命财产安全，服务好城市生产生活秩序全面恢复的工作大局。</w:t>
      </w:r>
    </w:p>
    <w:p>
      <w:pPr>
        <w:pStyle w:val="5"/>
        <w:spacing w:before="156" w:line="560" w:lineRule="exact"/>
        <w:ind w:firstLine="643"/>
        <w:rPr>
          <w:color w:val="000000"/>
        </w:rPr>
      </w:pPr>
      <w:r>
        <w:rPr>
          <w:rFonts w:hint="eastAsia"/>
          <w:color w:val="000000"/>
        </w:rPr>
        <w:t>（一）高效开展文物灾后修复</w:t>
      </w:r>
    </w:p>
    <w:p>
      <w:pPr>
        <w:tabs>
          <w:tab w:val="left" w:pos="1600"/>
        </w:tabs>
        <w:spacing w:line="560" w:lineRule="exact"/>
        <w:ind w:firstLine="640" w:firstLineChars="200"/>
        <w:rPr>
          <w:rFonts w:cs="仿宋"/>
          <w:color w:val="000000"/>
        </w:rPr>
      </w:pPr>
      <w:r>
        <w:rPr>
          <w:rFonts w:hint="eastAsia" w:cs="仿宋"/>
          <w:color w:val="000000"/>
        </w:rPr>
        <w:t>重点实施《郑州市文物灾后抢险修复及防灾抗灾综合能力提升工作实施方案》，按照“专家组、文物主管部门、文物保护工程资质单位”联合现场会商机制，全面开展抢险工作，现场研究险情，现场制定抢险方案，现场形成会议纪要开展施工，联合把关工程质量和抢险成果。高效推动对各级文物保护单位、文博场馆、重点文物建设项目受灾受损排查、抢险工作进入修复保护阶段，在完成受灾文物抢险排险、确保文物安全的前提下，有序开展文物保护单位灾后修复方案编制报批、审批工作，加快推进大型遗址类、墓葬群等受灾受损文物修复工程，重点实施纳入《河南省特大暴雨灾后水利基础设施恢复重建专项规划》的4</w:t>
      </w:r>
      <w:r>
        <w:rPr>
          <w:rFonts w:cs="仿宋"/>
          <w:color w:val="000000"/>
        </w:rPr>
        <w:t>9</w:t>
      </w:r>
      <w:r>
        <w:rPr>
          <w:rFonts w:hint="eastAsia" w:cs="仿宋"/>
          <w:color w:val="000000"/>
        </w:rPr>
        <w:t>项文物灾后抢险修复及防灾抗灾综合能力提升项目，按要求高质量完成受灾受损文物修复工作。</w:t>
      </w:r>
    </w:p>
    <w:p>
      <w:pPr>
        <w:pStyle w:val="5"/>
        <w:spacing w:before="156" w:line="560" w:lineRule="exact"/>
        <w:ind w:firstLine="643"/>
        <w:rPr>
          <w:color w:val="000000"/>
        </w:rPr>
      </w:pPr>
      <w:r>
        <w:rPr>
          <w:rFonts w:hint="eastAsia"/>
          <w:color w:val="000000"/>
        </w:rPr>
        <w:t>（二）着力提升防灾抗灾能力</w:t>
      </w:r>
    </w:p>
    <w:p>
      <w:pPr>
        <w:spacing w:line="560" w:lineRule="exact"/>
        <w:ind w:firstLine="640" w:firstLineChars="200"/>
        <w:rPr>
          <w:rFonts w:cs="仿宋"/>
          <w:color w:val="000000"/>
        </w:rPr>
      </w:pPr>
      <w:r>
        <w:rPr>
          <w:rFonts w:hint="eastAsia" w:cs="仿宋"/>
          <w:color w:val="000000"/>
        </w:rPr>
        <w:t>根据文物保护单位不同类型和文博场馆特点，针对地面以上有文物遗存的遗址类、地面以下有文物遗存的遗址类、古建筑类、古墓葬类文物保护单位，以及文博场馆等不同类型，分门别类制定针对性防灾抗灾预案和能力提升专项方案，实施系统提升工程。将文物安全防灾抗灾更深度融入城市防灾抗灾体系，增强文物安全韧性。综合运用工程性措施和管理性措施，全面提升文物保护单位、文博场馆内外抗水患、抗大风、抗暴雨、抗暴雪综合能力，加强文物保护单位周边环境治理和配套服务设施建设，结合考古发掘现场土遗址的特殊性，配置田野考古应急抢险排水装备，加快文博场馆展示服务设施升级，全面提升文物系统综合防灾抗灾能力和展示利用水平。</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560" w:lineRule="exact"/>
              <w:jc w:val="center"/>
              <w:rPr>
                <w:rFonts w:ascii="Calibri" w:eastAsia="仿宋"/>
                <w:kern w:val="2"/>
                <w:sz w:val="28"/>
                <w:szCs w:val="21"/>
              </w:rPr>
            </w:pPr>
            <w:r>
              <w:rPr>
                <w:rFonts w:hint="eastAsia" w:ascii="Calibri" w:eastAsia="仿宋"/>
                <w:kern w:val="2"/>
                <w:sz w:val="28"/>
                <w:szCs w:val="21"/>
              </w:rPr>
              <w:t xml:space="preserve">专栏 </w:t>
            </w:r>
            <w:r>
              <w:rPr>
                <w:rFonts w:hint="eastAsia" w:ascii="仿宋" w:hAnsi="仿宋" w:eastAsia="仿宋"/>
                <w:kern w:val="2"/>
                <w:sz w:val="28"/>
                <w:szCs w:val="21"/>
              </w:rPr>
              <w:t>1</w:t>
            </w:r>
            <w:r>
              <w:rPr>
                <w:rFonts w:hint="eastAsia" w:ascii="Calibri" w:eastAsia="仿宋"/>
                <w:kern w:val="2"/>
                <w:sz w:val="28"/>
                <w:szCs w:val="21"/>
              </w:rPr>
              <w:t xml:space="preserve"> 文物灾后修复工程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480" w:lineRule="exact"/>
              <w:ind w:firstLine="560" w:firstLineChars="200"/>
              <w:rPr>
                <w:rFonts w:ascii="Calibri" w:eastAsia="仿宋"/>
                <w:kern w:val="2"/>
                <w:sz w:val="28"/>
                <w:szCs w:val="21"/>
              </w:rPr>
            </w:pPr>
            <w:r>
              <w:rPr>
                <w:rFonts w:hint="eastAsia" w:ascii="Calibri" w:eastAsia="仿宋"/>
                <w:kern w:val="2"/>
                <w:sz w:val="28"/>
                <w:szCs w:val="21"/>
              </w:rPr>
              <w:t>灾后修复重点项目：开展郑州商代都城遗址、打虎亭汉墓、京城古城址、古城寨遗址、巩县石窟等</w:t>
            </w:r>
            <w:r>
              <w:rPr>
                <w:rFonts w:hint="eastAsia" w:ascii="仿宋" w:hAnsi="仿宋" w:eastAsia="仿宋"/>
                <w:kern w:val="2"/>
                <w:sz w:val="28"/>
                <w:szCs w:val="21"/>
              </w:rPr>
              <w:t>4</w:t>
            </w:r>
            <w:r>
              <w:rPr>
                <w:rFonts w:ascii="仿宋" w:hAnsi="仿宋" w:eastAsia="仿宋"/>
                <w:kern w:val="2"/>
                <w:sz w:val="28"/>
                <w:szCs w:val="21"/>
              </w:rPr>
              <w:t>9</w:t>
            </w:r>
            <w:r>
              <w:rPr>
                <w:rFonts w:hint="eastAsia" w:ascii="Calibri" w:eastAsia="仿宋"/>
                <w:kern w:val="2"/>
                <w:sz w:val="28"/>
                <w:szCs w:val="21"/>
              </w:rPr>
              <w:t>项纳入河南省、郑州市文物修复重建方案的项目建设。</w:t>
            </w:r>
          </w:p>
        </w:tc>
      </w:tr>
    </w:tbl>
    <w:p>
      <w:pPr>
        <w:pStyle w:val="4"/>
        <w:spacing w:before="156" w:line="560" w:lineRule="exact"/>
        <w:ind w:firstLine="643"/>
        <w:rPr>
          <w:strike/>
          <w:color w:val="000000" w:themeColor="text1"/>
          <w14:textFill>
            <w14:solidFill>
              <w14:schemeClr w14:val="tx1"/>
            </w14:solidFill>
          </w14:textFill>
        </w:rPr>
      </w:pPr>
      <w:r>
        <w:rPr>
          <w:rFonts w:hint="eastAsia"/>
          <w:color w:val="000000"/>
        </w:rPr>
        <w:t>二、</w:t>
      </w:r>
      <w:r>
        <w:rPr>
          <w:rFonts w:hint="eastAsia"/>
          <w:color w:val="000000" w:themeColor="text1"/>
          <w14:textFill>
            <w14:solidFill>
              <w14:schemeClr w14:val="tx1"/>
            </w14:solidFill>
          </w14:textFill>
        </w:rPr>
        <w:t>强化考古科研创新能力，助力讲好中华文明故事</w:t>
      </w:r>
    </w:p>
    <w:p>
      <w:pPr>
        <w:spacing w:line="560" w:lineRule="exact"/>
        <w:ind w:firstLine="640" w:firstLineChars="200"/>
        <w:rPr>
          <w:color w:val="000000"/>
        </w:rPr>
      </w:pPr>
      <w:r>
        <w:rPr>
          <w:rFonts w:hint="eastAsia" w:cs="仿宋"/>
          <w:color w:val="000000"/>
        </w:rPr>
        <w:t>以构建中国特色、中国风格、中国气派的考古研究学科体系、学术体系、话语体系为指引，继续“探索未知、揭示本源”，充分激发文物勘探、考古发掘、科学研究在文物工作中的基石性、支撑性作用，不断提升文物勘探、考古发掘业务水平，开展田野文物工作者形象标准化建设，优化文物勘探、考古发掘标准化管理水平。放大“考古调查勘探发掘前置”改革示范效应，提高考古科研成果转化效率，做好考古成果挖掘、整理和阐释工作，丰富古都郑州厚重文化底蕴，为中华文明探源、讲好中国故事、展示中华文明风采强化核心文化支撑。</w:t>
      </w:r>
    </w:p>
    <w:p>
      <w:pPr>
        <w:pStyle w:val="5"/>
        <w:spacing w:before="156" w:line="560" w:lineRule="exact"/>
        <w:ind w:firstLine="643"/>
        <w:rPr>
          <w:color w:val="000000"/>
        </w:rPr>
      </w:pPr>
      <w:r>
        <w:rPr>
          <w:rFonts w:hint="eastAsia"/>
          <w:color w:val="000000"/>
        </w:rPr>
        <w:t>（一）打造中国特色一流考古体系</w:t>
      </w:r>
    </w:p>
    <w:p>
      <w:pPr>
        <w:spacing w:line="560" w:lineRule="exact"/>
        <w:ind w:firstLine="640" w:firstLineChars="200"/>
        <w:rPr>
          <w:rFonts w:cs="仿宋"/>
          <w:color w:val="000000"/>
        </w:rPr>
      </w:pPr>
      <w:r>
        <w:rPr>
          <w:rFonts w:hint="eastAsia" w:cs="仿宋"/>
          <w:color w:val="000000"/>
        </w:rPr>
        <w:t>从探寻中华文明起源、铸牢中华民族共同体意识、传承中华优秀传统文化的高度，切实增强做好考古工作的历史担当、历史主动、历史自觉，践行文物大市、考古重镇责任担当，围绕凝练一流重大课题、建设一流科研平台、组建一流人才团队、创建一流体制机制，努力打造一流考古机构、业内旗舰劲旅。依托我市丰富厚重的历史文化、考古遗址资源，大力引育顶尖人才、建强科研团队，围绕李家沟遗址、裴李岗遗址、大河村遗址、双槐树遗址、青台遗址、古城寨遗址、王城岗遗址、新砦遗址、稍柴遗址、花地嘴遗址、郑州商城、小双桥遗址、郑韩故城等关键遗址力争取得一批突破性重大考古发现，为探源中华文明、坚定文化自信作出郑州贡献。</w:t>
      </w:r>
    </w:p>
    <w:p>
      <w:pPr>
        <w:pStyle w:val="5"/>
        <w:spacing w:before="156" w:line="560" w:lineRule="exact"/>
        <w:ind w:firstLine="643"/>
        <w:rPr>
          <w:color w:val="000000"/>
        </w:rPr>
      </w:pPr>
      <w:r>
        <w:rPr>
          <w:rFonts w:hint="eastAsia"/>
          <w:color w:val="000000"/>
        </w:rPr>
        <w:t>（二）创建示范性科技考古支撑体系</w:t>
      </w:r>
    </w:p>
    <w:p>
      <w:pPr>
        <w:spacing w:line="560" w:lineRule="exact"/>
        <w:ind w:firstLine="640" w:firstLineChars="200"/>
        <w:rPr>
          <w:color w:val="000000"/>
        </w:rPr>
      </w:pPr>
      <w:r>
        <w:rPr>
          <w:rFonts w:hint="eastAsia" w:cs="仿宋"/>
          <w:color w:val="000000"/>
        </w:rPr>
        <w:t>强化科技赋能作用，把考古探索和文献研究同自然科学技术手段有机结合，</w:t>
      </w:r>
      <w:r>
        <w:rPr>
          <w:rFonts w:hint="eastAsia"/>
          <w:color w:val="000000"/>
        </w:rPr>
        <w:t>开展文物保护和考古应用关键技术研究，加强考古现场保护、信息有效提取和实验室考古协同，提高出土文物第一时间保护能力。重点做好多学科、多角度、多层次、全方位交叉研究，率先开展前沿考古技术研发，提升科技测年、环境考古、动植物考古等科技考古研究水平。大力发展数字考古，加强多学科协同，构建产学研用深度融合的文物考古科技创新体系。</w:t>
      </w:r>
    </w:p>
    <w:p>
      <w:pPr>
        <w:pStyle w:val="5"/>
        <w:spacing w:before="156" w:line="560" w:lineRule="exact"/>
        <w:ind w:firstLine="643"/>
        <w:rPr>
          <w:color w:val="000000"/>
        </w:rPr>
      </w:pPr>
      <w:r>
        <w:rPr>
          <w:rFonts w:hint="eastAsia"/>
          <w:color w:val="000000"/>
        </w:rPr>
        <w:t>（三）培育国家级联合科研攻关体系</w:t>
      </w:r>
    </w:p>
    <w:p>
      <w:pPr>
        <w:spacing w:line="560" w:lineRule="exact"/>
        <w:ind w:firstLine="640" w:firstLineChars="200"/>
        <w:rPr>
          <w:color w:val="000000"/>
        </w:rPr>
      </w:pPr>
      <w:r>
        <w:rPr>
          <w:rFonts w:hint="eastAsia"/>
          <w:color w:val="000000"/>
        </w:rPr>
        <w:t>发挥北京大学、清华大学、复旦大学、中国科学院、中国社会科学院等国内一流高等院校、科研院所、考古机构的行业领先优势，深化与郑州大学、河南大学、河南省科学院、河南省社会科学院、河南省农业科学院、河南省文物考古研究院等省内重点科研单位合作，围绕中华文明探源工程、夏文化研究等国家战略课题，联合共建、挂牌一批重点实验室、科技研发平台、创新实践基地、人才培养基地，引进、培养一批考古领军人才，打造中国特色、中国风格、中国气派的一流联合科研攻关体系。</w:t>
      </w:r>
    </w:p>
    <w:p>
      <w:pPr>
        <w:pStyle w:val="5"/>
        <w:spacing w:before="156" w:line="560" w:lineRule="exact"/>
        <w:ind w:firstLine="643"/>
        <w:rPr>
          <w:color w:val="000000"/>
        </w:rPr>
      </w:pPr>
      <w:r>
        <w:rPr>
          <w:rFonts w:hint="eastAsia"/>
          <w:color w:val="000000"/>
        </w:rPr>
        <w:t>（四）深化国家级战略专题专项研究</w:t>
      </w:r>
    </w:p>
    <w:p>
      <w:pPr>
        <w:spacing w:line="560" w:lineRule="exact"/>
        <w:ind w:firstLine="640" w:firstLineChars="200"/>
        <w:rPr>
          <w:rFonts w:eastAsia="仿宋_GB2312"/>
        </w:rPr>
      </w:pPr>
      <w:r>
        <w:rPr>
          <w:rFonts w:hint="eastAsia"/>
          <w:color w:val="000000"/>
        </w:rPr>
        <w:t>发挥郑州地区在“考古中国”“中华文明探源工程”“夏商周断代工程”等国家重大科研攻关课题中的关键优势，</w:t>
      </w:r>
      <w:r>
        <w:rPr>
          <w:rFonts w:hint="eastAsia"/>
        </w:rPr>
        <w:t>开展黄河文化、夏文化国家级战略专题研究，筑牢中华文明研究中的郑州考古标志体系。</w:t>
      </w:r>
    </w:p>
    <w:p>
      <w:pPr>
        <w:spacing w:line="560" w:lineRule="exact"/>
        <w:ind w:firstLine="640" w:firstLineChars="200"/>
        <w:rPr>
          <w:rFonts w:cs="仿宋"/>
          <w:b/>
          <w:bCs/>
          <w:color w:val="000000"/>
        </w:rPr>
      </w:pPr>
      <w:r>
        <w:rPr>
          <w:rFonts w:hint="eastAsia" w:cs="仿宋"/>
          <w:color w:val="000000"/>
        </w:rPr>
        <w:t>开展黄河文化专题研究。</w:t>
      </w:r>
      <w:r>
        <w:rPr>
          <w:rFonts w:hint="eastAsia"/>
          <w:color w:val="000000"/>
        </w:rPr>
        <w:t>系统普查黄河文化遗产，建立郑州黄河文化资源目录，重点加强黄河水工遗存、黄河故道遗存调查</w:t>
      </w:r>
      <w:r>
        <w:rPr>
          <w:color w:val="000000"/>
        </w:rPr>
        <w:t>，为黄河文化申报世界</w:t>
      </w:r>
      <w:r>
        <w:rPr>
          <w:rFonts w:hint="eastAsia"/>
          <w:color w:val="000000"/>
        </w:rPr>
        <w:t>自然和</w:t>
      </w:r>
      <w:r>
        <w:rPr>
          <w:color w:val="000000"/>
        </w:rPr>
        <w:t>文化</w:t>
      </w:r>
      <w:r>
        <w:rPr>
          <w:rFonts w:hint="eastAsia"/>
          <w:color w:val="000000"/>
        </w:rPr>
        <w:t>双</w:t>
      </w:r>
      <w:r>
        <w:rPr>
          <w:color w:val="000000"/>
        </w:rPr>
        <w:t>遗产</w:t>
      </w:r>
      <w:r>
        <w:rPr>
          <w:rFonts w:hint="eastAsia"/>
          <w:color w:val="000000"/>
        </w:rPr>
        <w:t>夯实基础</w:t>
      </w:r>
      <w:r>
        <w:rPr>
          <w:color w:val="000000"/>
        </w:rPr>
        <w:t>。</w:t>
      </w:r>
      <w:r>
        <w:rPr>
          <w:rFonts w:hint="eastAsia"/>
          <w:color w:val="000000"/>
        </w:rPr>
        <w:t>强化黄帝时期相关遗存的勘探发掘和学术研究，为中华文明起源、形成、发展的基本图景、内在机制以及各区域文明演进路径等重大问题提供考古实证，为深入研究中华民族文化基因特质做出郑州贡献。</w:t>
      </w:r>
    </w:p>
    <w:p>
      <w:pPr>
        <w:ind w:firstLine="640" w:firstLineChars="200"/>
        <w:rPr>
          <w:color w:val="000000"/>
        </w:rPr>
      </w:pPr>
      <w:r>
        <w:rPr>
          <w:rFonts w:hint="eastAsia"/>
          <w:color w:val="000000"/>
        </w:rPr>
        <w:t>开展夏文化专题研究。发挥</w:t>
      </w:r>
      <w:r>
        <w:rPr>
          <w:rFonts w:hint="eastAsia" w:ascii="仿宋_GB2312" w:hAnsi="仿宋_GB2312" w:eastAsia="仿宋_GB2312" w:cs="仿宋_GB2312"/>
          <w:szCs w:val="24"/>
        </w:rPr>
        <w:t>郑州在国家夏文化重大课题研究中的关键优势，</w:t>
      </w:r>
      <w:r>
        <w:rPr>
          <w:rFonts w:hint="eastAsia"/>
          <w:color w:val="000000"/>
        </w:rPr>
        <w:t>与国内外高等院校、科研院所合作，重点</w:t>
      </w:r>
      <w:r>
        <w:rPr>
          <w:rFonts w:hint="eastAsia" w:ascii="仿宋_GB2312" w:hAnsi="仿宋_GB2312" w:eastAsia="仿宋_GB2312" w:cs="仿宋_GB2312"/>
          <w:szCs w:val="24"/>
        </w:rPr>
        <w:t>围绕国家文物局夏文化关键遗址项目库确定的王城岗遗址、新砦遗址、稍柴遗址、东赵遗址、花地嘴遗址、古城寨遗址，开展持续考古发掘。发布</w:t>
      </w:r>
      <w:r>
        <w:rPr>
          <w:rFonts w:hint="eastAsia"/>
          <w:color w:val="000000"/>
        </w:rPr>
        <w:t>一批代表性学术成果，推进夏文化研究工作取得重大突破。</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jc w:val="center"/>
              <w:rPr>
                <w:rFonts w:ascii="Calibri" w:eastAsia="仿宋"/>
                <w:kern w:val="2"/>
                <w:sz w:val="28"/>
                <w:szCs w:val="21"/>
              </w:rPr>
            </w:pPr>
            <w:bookmarkStart w:id="1" w:name="_Hlk98506077"/>
            <w:r>
              <w:rPr>
                <w:rFonts w:hint="eastAsia" w:ascii="Calibri" w:eastAsia="仿宋"/>
                <w:kern w:val="2"/>
                <w:sz w:val="28"/>
                <w:szCs w:val="21"/>
              </w:rPr>
              <w:t xml:space="preserve">专栏 </w:t>
            </w:r>
            <w:r>
              <w:rPr>
                <w:rFonts w:ascii="仿宋" w:hAnsi="仿宋" w:eastAsia="仿宋"/>
                <w:kern w:val="2"/>
                <w:sz w:val="28"/>
                <w:szCs w:val="21"/>
              </w:rPr>
              <w:t>2</w:t>
            </w:r>
            <w:r>
              <w:rPr>
                <w:rFonts w:hint="eastAsia" w:ascii="Calibri" w:eastAsia="仿宋"/>
                <w:kern w:val="2"/>
                <w:sz w:val="28"/>
                <w:szCs w:val="21"/>
              </w:rPr>
              <w:t xml:space="preserve"> 考古研究工程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480" w:lineRule="exact"/>
              <w:ind w:firstLine="560" w:firstLineChars="200"/>
              <w:jc w:val="both"/>
              <w:rPr>
                <w:rFonts w:ascii="仿宋" w:hAnsi="仿宋" w:eastAsia="仿宋"/>
                <w:kern w:val="2"/>
                <w:sz w:val="28"/>
                <w:szCs w:val="21"/>
              </w:rPr>
            </w:pPr>
            <w:r>
              <w:rPr>
                <w:rFonts w:hint="eastAsia" w:ascii="仿宋" w:hAnsi="仿宋" w:eastAsia="仿宋"/>
                <w:kern w:val="2"/>
                <w:sz w:val="28"/>
                <w:szCs w:val="21"/>
              </w:rPr>
              <w:t>考古研究重点项目：持续开展李家沟遗址、裴李岗遗址、大河村遗址、双槐树遗址、青台遗址、古城寨遗址、王城岗遗址、新砦遗址、稍柴遗址、花地嘴遗址、郑州商城、小双桥遗址、郑韩故城等重要遗址考古工作。</w:t>
            </w:r>
          </w:p>
          <w:p>
            <w:pPr>
              <w:pStyle w:val="14"/>
              <w:spacing w:line="480" w:lineRule="exact"/>
              <w:ind w:firstLine="560" w:firstLineChars="200"/>
              <w:jc w:val="both"/>
              <w:rPr>
                <w:rFonts w:ascii="仿宋" w:hAnsi="仿宋" w:eastAsia="仿宋"/>
                <w:kern w:val="2"/>
                <w:sz w:val="28"/>
                <w:szCs w:val="21"/>
              </w:rPr>
            </w:pPr>
            <w:r>
              <w:rPr>
                <w:rFonts w:hint="eastAsia" w:ascii="仿宋" w:hAnsi="仿宋" w:eastAsia="仿宋"/>
                <w:kern w:val="2"/>
                <w:sz w:val="28"/>
                <w:szCs w:val="21"/>
              </w:rPr>
              <w:t>黄河文化研究项目：重点开展黄河历史文化、历史地理和人文地理、文明起源与文化发展系列、人文黄河系列、黄河治理系列等6个课题研究和出版工作。</w:t>
            </w:r>
          </w:p>
          <w:p>
            <w:pPr>
              <w:pStyle w:val="14"/>
              <w:spacing w:line="480" w:lineRule="exact"/>
              <w:ind w:firstLine="560" w:firstLineChars="200"/>
              <w:jc w:val="both"/>
              <w:rPr>
                <w:rFonts w:ascii="Calibri" w:eastAsia="仿宋"/>
                <w:kern w:val="2"/>
                <w:sz w:val="28"/>
                <w:szCs w:val="21"/>
              </w:rPr>
            </w:pPr>
            <w:r>
              <w:rPr>
                <w:rFonts w:hint="eastAsia" w:ascii="仿宋" w:hAnsi="仿宋" w:eastAsia="仿宋"/>
                <w:kern w:val="2"/>
                <w:sz w:val="28"/>
                <w:szCs w:val="21"/>
              </w:rPr>
              <w:t>夏文化研究项目：全面开展国家文物局选定的登封王城岗、新密新砦、新密古城寨、巩义稍柴、巩义花地嘴、高新区东赵遗址6个夏文化研究关键遗址的考古发掘、保护规划编制工作。</w:t>
            </w:r>
          </w:p>
        </w:tc>
      </w:tr>
      <w:bookmarkEnd w:id="1"/>
    </w:tbl>
    <w:p>
      <w:pPr>
        <w:pStyle w:val="4"/>
        <w:spacing w:before="156"/>
        <w:ind w:firstLine="643"/>
      </w:pPr>
      <w:r>
        <w:rPr>
          <w:rFonts w:hint="eastAsia"/>
        </w:rPr>
        <w:t>三、创新全域保护传承体系，打造中华文明全景式展示地</w:t>
      </w:r>
    </w:p>
    <w:p>
      <w:pPr>
        <w:spacing w:line="560" w:lineRule="exact"/>
        <w:ind w:firstLine="640" w:firstLineChars="200"/>
        <w:rPr>
          <w:rFonts w:cs="仿宋"/>
          <w:color w:val="000000"/>
        </w:rPr>
      </w:pPr>
      <w:r>
        <w:rPr>
          <w:rFonts w:hint="eastAsia" w:cs="仿宋"/>
          <w:color w:val="000000"/>
        </w:rPr>
        <w:t>探索创新文物保护理念，由抢救性保护向预防性保护转变，由本体保护向本体与环境协同保护转变，由单点保护向集群保护、全域保护转变，增强文物系统性保护能力，提升科技保护创新水平，丰富文物保护活化利用方式，打造中华文明标识体系，更好发挥文物资源以史育人、以文化人、服务社会发展大局的积极作用。</w:t>
      </w:r>
    </w:p>
    <w:p>
      <w:pPr>
        <w:pStyle w:val="5"/>
        <w:spacing w:before="156" w:line="560" w:lineRule="exact"/>
        <w:ind w:firstLine="643"/>
        <w:rPr>
          <w:color w:val="000000"/>
        </w:rPr>
      </w:pPr>
      <w:r>
        <w:rPr>
          <w:rFonts w:hint="eastAsia"/>
          <w:color w:val="000000"/>
        </w:rPr>
        <w:t>（一）</w:t>
      </w:r>
      <w:bookmarkStart w:id="2" w:name="_Hlk101985868"/>
      <w:r>
        <w:rPr>
          <w:rFonts w:hint="eastAsia"/>
          <w:color w:val="000000"/>
        </w:rPr>
        <w:t>建设</w:t>
      </w:r>
      <w:r>
        <w:rPr>
          <w:color w:val="000000"/>
        </w:rPr>
        <w:t>中华文明全景式集中展示地</w:t>
      </w:r>
      <w:bookmarkEnd w:id="2"/>
    </w:p>
    <w:p>
      <w:pPr>
        <w:spacing w:line="560" w:lineRule="exact"/>
        <w:ind w:firstLine="640" w:firstLineChars="200"/>
        <w:rPr>
          <w:color w:val="000000"/>
        </w:rPr>
      </w:pPr>
      <w:r>
        <w:rPr>
          <w:rFonts w:hint="eastAsia"/>
          <w:color w:val="000000"/>
        </w:rPr>
        <w:t>站位于中华文明觉醒、中华文明复兴的战略高度，按照省委省政府工作部署，以郑州</w:t>
      </w:r>
      <w:r>
        <w:rPr>
          <w:color w:val="000000"/>
        </w:rPr>
        <w:t>为中心，</w:t>
      </w:r>
      <w:r>
        <w:rPr>
          <w:color w:val="000000"/>
          <w:lang w:val="en"/>
        </w:rPr>
        <w:t>以</w:t>
      </w:r>
      <w:r>
        <w:rPr>
          <w:rFonts w:hint="eastAsia"/>
          <w:color w:val="000000"/>
        </w:rPr>
        <w:t>“行走</w:t>
      </w:r>
      <w:r>
        <w:rPr>
          <w:color w:val="000000"/>
        </w:rPr>
        <w:t>河南</w:t>
      </w:r>
      <w:r>
        <w:rPr>
          <w:rFonts w:hint="eastAsia"/>
          <w:color w:val="000000"/>
        </w:rPr>
        <w:t>·</w:t>
      </w:r>
      <w:r>
        <w:rPr>
          <w:color w:val="000000"/>
        </w:rPr>
        <w:t>读懂中国</w:t>
      </w:r>
      <w:r>
        <w:rPr>
          <w:rFonts w:hint="eastAsia"/>
          <w:color w:val="000000"/>
        </w:rPr>
        <w:t>”</w:t>
      </w:r>
      <w:r>
        <w:rPr>
          <w:color w:val="000000"/>
          <w:lang w:val="en"/>
        </w:rPr>
        <w:t>为主题，打造</w:t>
      </w:r>
      <w:r>
        <w:rPr>
          <w:rFonts w:hint="eastAsia"/>
          <w:color w:val="000000"/>
        </w:rPr>
        <w:t>中华</w:t>
      </w:r>
      <w:r>
        <w:rPr>
          <w:color w:val="000000"/>
        </w:rPr>
        <w:t>文明全景式集中展示地</w:t>
      </w:r>
      <w:r>
        <w:rPr>
          <w:rFonts w:hint="eastAsia"/>
          <w:color w:val="000000"/>
        </w:rPr>
        <w:t>。按照“</w:t>
      </w:r>
      <w:r>
        <w:rPr>
          <w:rFonts w:hint="eastAsia" w:asciiTheme="minorEastAsia" w:hAnsiTheme="minorEastAsia" w:eastAsiaTheme="minorEastAsia"/>
          <w:color w:val="000000"/>
        </w:rPr>
        <w:t>1+N</w:t>
      </w:r>
      <w:r>
        <w:rPr>
          <w:rFonts w:hint="eastAsia"/>
          <w:color w:val="000000"/>
        </w:rPr>
        <w:t>+主题乐园”布局模式开展博物馆群建设，包括1个主体馆（河南博物院新院）、N个专题馆、1个中华文明主题乐园，建设“博物馆之城”，使郑州成为炎黄</w:t>
      </w:r>
      <w:r>
        <w:rPr>
          <w:color w:val="000000"/>
        </w:rPr>
        <w:t>子孙</w:t>
      </w:r>
      <w:r>
        <w:rPr>
          <w:rFonts w:hint="eastAsia"/>
          <w:color w:val="000000"/>
        </w:rPr>
        <w:t>的</w:t>
      </w:r>
      <w:r>
        <w:rPr>
          <w:color w:val="000000"/>
        </w:rPr>
        <w:t>寻根</w:t>
      </w:r>
      <w:r>
        <w:rPr>
          <w:rFonts w:hint="eastAsia"/>
          <w:color w:val="000000"/>
        </w:rPr>
        <w:t>之</w:t>
      </w:r>
      <w:r>
        <w:rPr>
          <w:color w:val="000000"/>
        </w:rPr>
        <w:t>地</w:t>
      </w:r>
      <w:r>
        <w:rPr>
          <w:rFonts w:hint="eastAsia"/>
          <w:color w:val="000000"/>
        </w:rPr>
        <w:t>、</w:t>
      </w:r>
      <w:r>
        <w:rPr>
          <w:color w:val="000000"/>
        </w:rPr>
        <w:t>中华文化</w:t>
      </w:r>
      <w:r>
        <w:rPr>
          <w:rFonts w:hint="eastAsia"/>
          <w:color w:val="000000"/>
        </w:rPr>
        <w:t>的</w:t>
      </w:r>
      <w:r>
        <w:rPr>
          <w:color w:val="000000"/>
        </w:rPr>
        <w:t>朝圣</w:t>
      </w:r>
      <w:r>
        <w:rPr>
          <w:rFonts w:hint="eastAsia"/>
          <w:color w:val="000000"/>
        </w:rPr>
        <w:t>之</w:t>
      </w:r>
      <w:r>
        <w:rPr>
          <w:color w:val="000000"/>
        </w:rPr>
        <w:t>地</w:t>
      </w:r>
      <w:r>
        <w:rPr>
          <w:rFonts w:hint="eastAsia"/>
          <w:color w:val="000000"/>
        </w:rPr>
        <w:t>、中华文明的体验之地、华夏国学的教育之地。</w:t>
      </w:r>
    </w:p>
    <w:p>
      <w:pPr>
        <w:spacing w:line="560" w:lineRule="exact"/>
        <w:ind w:firstLine="640" w:firstLineChars="200"/>
        <w:rPr>
          <w:color w:val="000000"/>
        </w:rPr>
      </w:pPr>
      <w:r>
        <w:rPr>
          <w:rFonts w:hint="eastAsia"/>
          <w:color w:val="000000"/>
        </w:rPr>
        <w:t>围绕</w:t>
      </w:r>
      <w:r>
        <w:rPr>
          <w:color w:val="000000"/>
        </w:rPr>
        <w:t>读懂中华文明的主根、主脉</w:t>
      </w:r>
      <w:r>
        <w:rPr>
          <w:rFonts w:hint="eastAsia"/>
          <w:color w:val="000000"/>
        </w:rPr>
        <w:t>，采用云上+线下结合的整体策略，依托中华通史馆、主题博物馆，配套完善文旅、研学集散中心，构建中华文明标识体系，打造中华文化的历史读本。培育文创数字产业、文博教育产业，建设以文博赋能的新型文创产业集聚区，形成“创新+创意+创造”的文创产业航母，打造中华文化的产业范本。提炼中华历史文化IP矩阵，建设一批沉浸式数字展示中心、历史古城元宇宙项目，打造中华文化的未来画本。</w:t>
      </w:r>
    </w:p>
    <w:p>
      <w:pPr>
        <w:pStyle w:val="5"/>
        <w:spacing w:before="156" w:line="560" w:lineRule="exact"/>
        <w:ind w:firstLine="643"/>
        <w:rPr>
          <w:color w:val="000000"/>
        </w:rPr>
      </w:pPr>
      <w:r>
        <w:rPr>
          <w:rFonts w:hint="eastAsia"/>
          <w:color w:val="000000"/>
        </w:rPr>
        <w:t>（二）建设黄河历史文化主地标城市</w:t>
      </w:r>
    </w:p>
    <w:p>
      <w:pPr>
        <w:spacing w:line="560" w:lineRule="exact"/>
        <w:ind w:firstLine="640" w:firstLineChars="200"/>
        <w:rPr>
          <w:color w:val="000000"/>
        </w:rPr>
      </w:pPr>
      <w:r>
        <w:rPr>
          <w:rFonts w:hint="eastAsia" w:cs="仿宋"/>
          <w:color w:val="000000"/>
        </w:rPr>
        <w:t>立足</w:t>
      </w:r>
      <w:r>
        <w:rPr>
          <w:rFonts w:hint="eastAsia"/>
          <w:color w:val="000000"/>
        </w:rPr>
        <w:t>黄河流域生态保护和高质量发展国家战略，充分激发郑州地区历史文化资源底蕴优势，系统开展文物保护修缮、环境整治、展示利用工程，着力建设黄河历史文化主地标城市。编制实施《郑州市黄河</w:t>
      </w:r>
      <w:r>
        <w:rPr>
          <w:color w:val="000000"/>
        </w:rPr>
        <w:t>文化遗产保护</w:t>
      </w:r>
      <w:r>
        <w:rPr>
          <w:rFonts w:hint="eastAsia"/>
          <w:color w:val="000000"/>
        </w:rPr>
        <w:t>传承</w:t>
      </w:r>
      <w:r>
        <w:rPr>
          <w:color w:val="000000"/>
        </w:rPr>
        <w:t>弘扬专项规划</w:t>
      </w:r>
      <w:r>
        <w:rPr>
          <w:rFonts w:hint="eastAsia"/>
          <w:color w:val="000000"/>
        </w:rPr>
        <w:t>》，打造沿黄文化带、环嵩山文化带和中心城区构成的</w:t>
      </w:r>
      <w:bookmarkStart w:id="3" w:name="_Hlk112253115"/>
      <w:r>
        <w:rPr>
          <w:rFonts w:hint="eastAsia"/>
          <w:color w:val="000000"/>
        </w:rPr>
        <w:t>“两带一心”城市文化总体格局</w:t>
      </w:r>
      <w:bookmarkEnd w:id="3"/>
      <w:r>
        <w:rPr>
          <w:rFonts w:hint="eastAsia"/>
          <w:color w:val="000000"/>
        </w:rPr>
        <w:t>。</w:t>
      </w:r>
    </w:p>
    <w:p>
      <w:pPr>
        <w:spacing w:line="560" w:lineRule="exact"/>
        <w:ind w:firstLine="640" w:firstLineChars="200"/>
        <w:rPr>
          <w:color w:val="000000"/>
        </w:rPr>
      </w:pPr>
      <w:r>
        <w:rPr>
          <w:rFonts w:hint="eastAsia"/>
          <w:color w:val="000000"/>
        </w:rPr>
        <w:t>依托沿黄文物资源，建设</w:t>
      </w:r>
      <w:r>
        <w:rPr>
          <w:color w:val="000000"/>
        </w:rPr>
        <w:t>沿黄</w:t>
      </w:r>
      <w:r>
        <w:rPr>
          <w:rFonts w:hint="eastAsia"/>
          <w:color w:val="000000"/>
        </w:rPr>
        <w:t>文化带。以沿黄分布的文明曙光文化集群、治河安邦文化集群为支撑，以“黄河+大运河”为主轴，构建郑州黄河文化门户，重点建设</w:t>
      </w:r>
      <w:r>
        <w:rPr>
          <w:color w:val="000000"/>
        </w:rPr>
        <w:t>5</w:t>
      </w:r>
      <w:r>
        <w:rPr>
          <w:rFonts w:hint="eastAsia"/>
          <w:color w:val="000000"/>
        </w:rPr>
        <w:t>个主题展示园、1个黄河国家文博区和</w:t>
      </w:r>
      <w:r>
        <w:rPr>
          <w:color w:val="000000"/>
        </w:rPr>
        <w:t>8</w:t>
      </w:r>
      <w:r>
        <w:rPr>
          <w:rFonts w:hint="eastAsia"/>
          <w:color w:val="000000"/>
        </w:rPr>
        <w:t>个特色展示点。推进双槐树遗址、青台遗址、大河村遗址、治河安邦（毛主席视察黄河旧址）、黄运交汇（大运河通济渠郑州段）等</w:t>
      </w:r>
      <w:r>
        <w:rPr>
          <w:color w:val="000000"/>
        </w:rPr>
        <w:t>5</w:t>
      </w:r>
      <w:r>
        <w:rPr>
          <w:rFonts w:hint="eastAsia"/>
          <w:color w:val="000000"/>
        </w:rPr>
        <w:t>个主题展示园建设，展示黄河文化发展主线。以黄河博物馆新馆、大河村国家考古遗址公园为重点，建设黄河国家文博区。加快推进西山古城址、荥阳故城、北宋皇陵、巩义窑址等</w:t>
      </w:r>
      <w:r>
        <w:rPr>
          <w:color w:val="000000"/>
        </w:rPr>
        <w:t>8</w:t>
      </w:r>
      <w:r>
        <w:rPr>
          <w:rFonts w:hint="eastAsia"/>
          <w:color w:val="000000"/>
        </w:rPr>
        <w:t>处特色展示点建设，打造世界级沿黄自然生态带、文化遗产带、观光旅游带。</w:t>
      </w:r>
    </w:p>
    <w:p>
      <w:pPr>
        <w:spacing w:line="560" w:lineRule="exact"/>
        <w:ind w:firstLine="640" w:firstLineChars="200"/>
        <w:rPr>
          <w:color w:val="000000"/>
        </w:rPr>
      </w:pPr>
      <w:r>
        <w:rPr>
          <w:rFonts w:hint="eastAsia"/>
          <w:color w:val="000000"/>
        </w:rPr>
        <w:t>围绕嵩山周边文物资源，打造环嵩山文化带。着力建设人类起源文化集群、国家肇始文化集群、人文初祖文化集群、“天地之中”文化集群。国家肇始、人类起源文化集群以双洎河水系为轴线，重点建设王城岗遗址、新砦遗址等主题展示园和织机洞、李家沟、古城寨等5个特色展示点。人文初祖文化集群依托黄帝文化相关资源，重点建设黄帝故里主题展示园和裴李岗、郑韩故城等5个特色展示点。“天地之中”文化集群以嵩山为空间载体，重点建设“天地之中”主题展示园和大周封祀坛遗址、法王寺塔等4处特色展示点，形成中华优秀传统文化集中展示地。</w:t>
      </w:r>
    </w:p>
    <w:p>
      <w:pPr>
        <w:spacing w:line="560" w:lineRule="exact"/>
        <w:ind w:firstLine="640" w:firstLineChars="200"/>
        <w:rPr>
          <w:color w:val="000000"/>
        </w:rPr>
      </w:pPr>
      <w:r>
        <w:rPr>
          <w:rFonts w:hint="eastAsia"/>
          <w:color w:val="000000"/>
        </w:rPr>
        <w:t>以郑州商城为</w:t>
      </w:r>
      <w:r>
        <w:rPr>
          <w:rFonts w:hint="eastAsia"/>
        </w:rPr>
        <w:t>重点，建设中心城区文脉传承中心。发挥</w:t>
      </w:r>
      <w:r>
        <w:rPr>
          <w:rFonts w:hint="eastAsia"/>
          <w:color w:val="000000"/>
        </w:rPr>
        <w:t>中心城区文物资源与人民群众联系密切的区位优势，重点建设郑州商城国家考古遗址公园、第二砂轮厂文化创意园区、郑州纺织工业基地、二七纪念塔和纪念堂红色文化展示园区等文旅文创融合示范区，打造具有鲜明历史文化特色的中心城区文化集群。</w:t>
      </w:r>
    </w:p>
    <w:p>
      <w:pPr>
        <w:pStyle w:val="5"/>
        <w:spacing w:before="156"/>
        <w:ind w:firstLine="643"/>
      </w:pPr>
      <w:r>
        <w:rPr>
          <w:rFonts w:hint="eastAsia"/>
        </w:rPr>
        <w:t>（三）实施全域保护利用模式探索</w:t>
      </w:r>
    </w:p>
    <w:p>
      <w:pPr>
        <w:spacing w:line="560" w:lineRule="exact"/>
        <w:ind w:firstLine="642"/>
        <w:rPr>
          <w:color w:val="000000"/>
        </w:rPr>
      </w:pPr>
      <w:r>
        <w:rPr>
          <w:rFonts w:hint="eastAsia"/>
          <w:color w:val="000000"/>
        </w:rPr>
        <w:t>提升文物保护单位保护规划、方案编制率，实现“十四五”期间国保单位保护规划编制率达到90%以上，省保单位保护规划编制率过半。全面加快文物保护展示方案编制，充实文物保护展示工程动态项目库，为文物保护展示项目的实施夯实工作基础。重点做好双槐树“河洛古国”、青台遗址、汉霸二王城、京城古城址、西山古城址、荥阳故城、大河村遗址、郑州商城遗址、小双桥遗址、王城岗遗址、古城寨遗址、巩县石窟、郑韩故城、魏长城、登封“天地之中”历史建筑群、大运河通济渠郑州段等标志性保护展示工程。</w:t>
      </w:r>
    </w:p>
    <w:p>
      <w:pPr>
        <w:spacing w:line="560" w:lineRule="exact"/>
        <w:ind w:firstLine="642"/>
        <w:rPr>
          <w:color w:val="000000"/>
        </w:rPr>
      </w:pPr>
      <w:r>
        <w:rPr>
          <w:rFonts w:hint="eastAsia"/>
          <w:color w:val="000000"/>
        </w:rPr>
        <w:t>开展不可移动文物预防性保护实践探索。研究出台不可移动文物风险、病害分析方法与监测工作指导手册，加快病害监测技术的研究与应用。重点实施巩县石窟、汉三阙等石质文物监测分析项目。编制《登封“天地之中”历史建筑群预防性保护方案》，以登封“天地之中”历史建筑群为试点，开展不可移动文物预防性保护的理论、方法与实践探索。</w:t>
      </w:r>
    </w:p>
    <w:p>
      <w:pPr>
        <w:pStyle w:val="5"/>
        <w:spacing w:before="156"/>
        <w:ind w:firstLine="643"/>
      </w:pPr>
      <w:r>
        <w:rPr>
          <w:rFonts w:hint="eastAsia"/>
        </w:rPr>
        <w:t>（四）壮大国家考古遗址公园体系</w:t>
      </w:r>
    </w:p>
    <w:p>
      <w:pPr>
        <w:spacing w:line="560" w:lineRule="exact"/>
        <w:ind w:firstLine="642"/>
      </w:pPr>
      <w:r>
        <w:rPr>
          <w:rFonts w:hint="eastAsia"/>
          <w:color w:val="000000"/>
        </w:rPr>
        <w:t>发挥好国家考古遗址公园在文物保护、环境整治、服务群众等方面的示范作用，引领和促进全市文物保护利用工作高品质发展。巩固已经挂牌的</w:t>
      </w:r>
      <w:r>
        <w:rPr>
          <w:color w:val="000000"/>
        </w:rPr>
        <w:t>郑韩故城国家考古遗址公园</w:t>
      </w:r>
      <w:r>
        <w:rPr>
          <w:rFonts w:hint="eastAsia"/>
          <w:color w:val="000000"/>
        </w:rPr>
        <w:t>建设成果</w:t>
      </w:r>
      <w:r>
        <w:rPr>
          <w:color w:val="000000"/>
        </w:rPr>
        <w:t>，</w:t>
      </w:r>
      <w:r>
        <w:rPr>
          <w:rFonts w:hint="eastAsia"/>
          <w:color w:val="000000"/>
        </w:rPr>
        <w:t>加快已经立项的大河村国家考古遗址公园、郑州商城国家考古遗址公园建设，争取早日挂牌。全面做好北宋皇陵、西山古城址国家考古遗址公园申请国家文物局立项工作，加快建设进度。推动大运河汴河遗址段、荥阳故城、双槐树“河洛古国”、青台遗址、王城岗遗址等重要遗址公园建设，积极做好国家</w:t>
      </w:r>
      <w:r>
        <w:rPr>
          <w:color w:val="000000"/>
        </w:rPr>
        <w:t>考古遗址公园</w:t>
      </w:r>
      <w:r>
        <w:rPr>
          <w:rFonts w:hint="eastAsia"/>
          <w:color w:val="000000"/>
        </w:rPr>
        <w:t>申报基础工作</w:t>
      </w:r>
      <w:r>
        <w:rPr>
          <w:color w:val="000000"/>
        </w:rPr>
        <w:t>。</w:t>
      </w:r>
    </w:p>
    <w:p>
      <w:pPr>
        <w:pStyle w:val="5"/>
        <w:spacing w:before="156"/>
        <w:ind w:firstLine="643"/>
      </w:pPr>
      <w:bookmarkStart w:id="4" w:name="_Hlk104371768"/>
      <w:r>
        <w:rPr>
          <w:rFonts w:hint="eastAsia"/>
        </w:rPr>
        <w:t>（五）深化实施文物保护信息化工程</w:t>
      </w:r>
      <w:bookmarkEnd w:id="4"/>
    </w:p>
    <w:p>
      <w:pPr>
        <w:spacing w:line="560" w:lineRule="exact"/>
        <w:ind w:firstLine="640" w:firstLineChars="200"/>
        <w:rPr>
          <w:color w:val="000000"/>
        </w:rPr>
      </w:pPr>
      <w:r>
        <w:rPr>
          <w:rFonts w:hint="eastAsia"/>
          <w:color w:val="000000"/>
        </w:rPr>
        <w:t>发挥信息技术在文物资源管理、数据共享、数字展示、病害监测等方面的突出优势，构建全域文物保护信息化体系。与国有大型信息平台对接，建设郑州市文博资源线上“一本通”，扩展全市文物博物馆资源宣传展示途径。建成郑州市文化遗产综合管理信息系统，提升文物保护、管理、展示、利用信息化水平。加快文物勘探档案数字化采集建库，建设文物安全实时监测试点。依托5G、大数据、云计算、人工智能等数字技术的创新应用，搭载全息、AR/VR交互，</w:t>
      </w:r>
      <w:r>
        <w:rPr>
          <w:color w:val="000000"/>
        </w:rPr>
        <w:t>提升</w:t>
      </w:r>
      <w:r>
        <w:rPr>
          <w:rFonts w:hint="eastAsia"/>
          <w:color w:val="000000"/>
        </w:rPr>
        <w:t>历史文化遗产</w:t>
      </w:r>
      <w:r>
        <w:rPr>
          <w:color w:val="000000"/>
        </w:rPr>
        <w:t>的可读性。</w:t>
      </w:r>
      <w:r>
        <w:rPr>
          <w:rFonts w:hint="eastAsia"/>
          <w:color w:val="000000"/>
        </w:rPr>
        <w:t>因地制宜打造一批数字化展示中心，重点实施登封“天地之中”历史建筑群、巩县石窟、打虎亭汉墓、大河村遗址、郑州商都遗址博物院等数字化保护展示项目。</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560" w:lineRule="exact"/>
              <w:jc w:val="center"/>
              <w:rPr>
                <w:rFonts w:ascii="Calibri" w:eastAsia="仿宋"/>
                <w:color w:val="auto"/>
                <w:kern w:val="2"/>
                <w:sz w:val="28"/>
                <w:szCs w:val="21"/>
              </w:rPr>
            </w:pPr>
            <w:r>
              <w:rPr>
                <w:rFonts w:hint="eastAsia" w:ascii="Calibri" w:eastAsia="仿宋"/>
                <w:color w:val="auto"/>
                <w:kern w:val="2"/>
                <w:sz w:val="28"/>
                <w:szCs w:val="21"/>
              </w:rPr>
              <w:t xml:space="preserve">专栏 </w:t>
            </w:r>
            <w:r>
              <w:rPr>
                <w:rFonts w:ascii="仿宋" w:hAnsi="仿宋" w:eastAsia="仿宋"/>
                <w:color w:val="auto"/>
                <w:kern w:val="2"/>
                <w:sz w:val="28"/>
                <w:szCs w:val="21"/>
              </w:rPr>
              <w:t>3</w:t>
            </w:r>
            <w:r>
              <w:rPr>
                <w:rFonts w:hint="eastAsia" w:ascii="Calibri" w:eastAsia="仿宋"/>
                <w:color w:val="auto"/>
                <w:kern w:val="2"/>
                <w:sz w:val="28"/>
                <w:szCs w:val="21"/>
              </w:rPr>
              <w:t xml:space="preserve"> 保护利用工程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spacing w:line="480" w:lineRule="exact"/>
              <w:ind w:firstLine="560" w:firstLineChars="200"/>
              <w:rPr>
                <w:sz w:val="28"/>
                <w:szCs w:val="21"/>
              </w:rPr>
            </w:pPr>
            <w:r>
              <w:rPr>
                <w:rFonts w:hint="eastAsia"/>
                <w:sz w:val="28"/>
                <w:szCs w:val="21"/>
              </w:rPr>
              <w:t>“两带一心”城市文化总体格局：“两带”指沿黄文化带、环嵩山文化带，沿黄文化带重点建设黄河博物馆新馆、大河村国家考古遗址公园（仰韶文化博物馆）、中原考古保护研究中心、中国古代冶铁博物馆等重点文化工程；环嵩山文化带重点以“天地之中”为中心，将黄帝文化、王城岗阳城遗址、新砦古城址、“天地之中”历史建筑群串联起来，讲好嵩山“天地之中”的中华民族优秀传统文化故事。“一心”指中心城区文脉传承中心，以商代王城遗址、二七广场、二砂文化片区等文化遗产为重点，理清中华文明早期的郑州、历史的郑州、近代的郑州，形成老城区的历史纵深，彰显郑州城市文化厚度。</w:t>
            </w:r>
          </w:p>
          <w:p>
            <w:pPr>
              <w:spacing w:line="480" w:lineRule="exact"/>
              <w:ind w:firstLine="560" w:firstLineChars="200"/>
              <w:rPr>
                <w:sz w:val="28"/>
                <w:szCs w:val="21"/>
              </w:rPr>
            </w:pPr>
            <w:r>
              <w:rPr>
                <w:rFonts w:hint="eastAsia"/>
                <w:sz w:val="28"/>
                <w:szCs w:val="21"/>
              </w:rPr>
              <w:t>文物保护展示重点项目：重点实施双槐树“河洛古国”、青台遗址、汉霸二王城、京城古城址、西山古城址、荥阳故城、大河村遗址、郑州商城遗址、小双桥遗址、王城岗遗址、古城寨遗址、巩县石窟、郑韩故城、魏长城、登封“天地之中”历史建筑群、大运河通济渠郑州段等标志性保护展示工程。</w:t>
            </w:r>
          </w:p>
          <w:p>
            <w:pPr>
              <w:pStyle w:val="14"/>
              <w:spacing w:line="480" w:lineRule="exact"/>
              <w:ind w:firstLine="560" w:firstLineChars="200"/>
              <w:jc w:val="both"/>
              <w:rPr>
                <w:rFonts w:ascii="Calibri" w:eastAsia="仿宋"/>
                <w:color w:val="auto"/>
                <w:kern w:val="2"/>
                <w:sz w:val="28"/>
                <w:szCs w:val="21"/>
              </w:rPr>
            </w:pPr>
            <w:r>
              <w:rPr>
                <w:rFonts w:hint="eastAsia" w:ascii="Calibri" w:eastAsia="仿宋"/>
                <w:color w:val="auto"/>
                <w:kern w:val="2"/>
                <w:sz w:val="28"/>
                <w:szCs w:val="21"/>
              </w:rPr>
              <w:t>遗址公园建设项目：实施黄河、大运河、长城国家文化公园建设，重点项目包括双槐树遗址公园、青台遗址公园、大河村国家考古遗址公园、西山遗址公园、郑州商城遗址公园、中国大运河郑州段遗址公园。一般项目包括李家沟遗址公园、古城寨遗址公园、荥阳故城遗址公园、宋陵遗址公园、巩义窑址遗址公园、小双桥遗址公园、东赵遗址公园、观星台生态文化公园、寿圣寺遗址生态文化公园等。</w:t>
            </w:r>
          </w:p>
          <w:p>
            <w:pPr>
              <w:pStyle w:val="14"/>
              <w:spacing w:line="480" w:lineRule="exact"/>
              <w:ind w:firstLine="560" w:firstLineChars="200"/>
              <w:jc w:val="both"/>
              <w:rPr>
                <w:rFonts w:ascii="Calibri" w:eastAsia="仿宋"/>
                <w:color w:val="auto"/>
                <w:kern w:val="2"/>
                <w:sz w:val="28"/>
                <w:szCs w:val="21"/>
              </w:rPr>
            </w:pPr>
            <w:r>
              <w:rPr>
                <w:rFonts w:hint="eastAsia" w:ascii="Calibri" w:eastAsia="仿宋"/>
                <w:color w:val="auto"/>
                <w:kern w:val="2"/>
                <w:sz w:val="28"/>
                <w:szCs w:val="21"/>
              </w:rPr>
              <w:t>数字展示馆建设项目：依托现有基础重点提升大河村遗址数字展示中心、“天地之中”历史建筑群等数字展示中心，谋划新建郑州商城数字展示中心、古荥古代科技数字展示中心、黄河沉浸式数字旅游体验中心、巩县石窟等数字化保护展示项目。</w:t>
            </w:r>
          </w:p>
        </w:tc>
      </w:tr>
    </w:tbl>
    <w:p>
      <w:pPr>
        <w:pStyle w:val="4"/>
        <w:spacing w:before="156"/>
        <w:ind w:firstLine="643"/>
      </w:pPr>
      <w:r>
        <w:rPr>
          <w:rFonts w:hint="eastAsia"/>
        </w:rPr>
        <w:t>四、强化文化传承弘扬体系，展示中华文明风采</w:t>
      </w:r>
    </w:p>
    <w:p>
      <w:pPr>
        <w:spacing w:line="560" w:lineRule="exact"/>
        <w:ind w:firstLine="640" w:firstLineChars="200"/>
        <w:rPr>
          <w:color w:val="000000"/>
        </w:rPr>
      </w:pPr>
      <w:r>
        <w:rPr>
          <w:rFonts w:hint="eastAsia"/>
          <w:color w:val="000000"/>
        </w:rPr>
        <w:t>以“让文物活起来，扩大中华文化国际影响力”为战略指引，加强文物对外交流合作，创新成果转化路径和传播推介方式，深化文明交流互鉴，促进文旅文创融合，不断提升郑州城市文化影响力和美誉度。</w:t>
      </w:r>
    </w:p>
    <w:p>
      <w:pPr>
        <w:pStyle w:val="5"/>
        <w:spacing w:before="156" w:line="560" w:lineRule="exact"/>
        <w:ind w:firstLine="643"/>
        <w:rPr>
          <w:color w:val="000000"/>
        </w:rPr>
      </w:pPr>
      <w:r>
        <w:rPr>
          <w:rFonts w:hint="eastAsia"/>
          <w:color w:val="000000"/>
        </w:rPr>
        <w:t>（一）拓展郑州历史文化传播途径</w:t>
      </w:r>
    </w:p>
    <w:p>
      <w:pPr>
        <w:spacing w:line="560" w:lineRule="exact"/>
        <w:ind w:firstLine="640" w:firstLineChars="200"/>
        <w:rPr>
          <w:color w:val="000000"/>
        </w:rPr>
      </w:pPr>
      <w:r>
        <w:rPr>
          <w:rFonts w:hint="eastAsia"/>
          <w:color w:val="000000"/>
        </w:rPr>
        <w:t>以国际论坛、重大会展为平台，加快郑州历史文化走出去，推动文明交流互鉴，扩大文化影响力。积极</w:t>
      </w:r>
      <w:r>
        <w:rPr>
          <w:color w:val="000000"/>
        </w:rPr>
        <w:t>参与</w:t>
      </w:r>
      <w:r>
        <w:rPr>
          <w:rFonts w:hint="eastAsia"/>
          <w:color w:val="000000"/>
        </w:rPr>
        <w:t>“中国黄河”国家</w:t>
      </w:r>
      <w:r>
        <w:rPr>
          <w:color w:val="000000"/>
        </w:rPr>
        <w:t>形象</w:t>
      </w:r>
      <w:r>
        <w:rPr>
          <w:rFonts w:hint="eastAsia"/>
          <w:color w:val="000000"/>
        </w:rPr>
        <w:t>宣传推广，办好第九届“博博会”、第三届“中国考古·郑州论坛”，</w:t>
      </w:r>
      <w:r>
        <w:rPr>
          <w:rFonts w:hint="eastAsia" w:cs="仿宋"/>
          <w:color w:val="000000"/>
        </w:rPr>
        <w:t>筹办“世界大河文明文物精品展”，</w:t>
      </w:r>
      <w:r>
        <w:rPr>
          <w:rFonts w:hint="eastAsia"/>
          <w:color w:val="000000"/>
        </w:rPr>
        <w:t>积极申办世界</w:t>
      </w:r>
      <w:r>
        <w:rPr>
          <w:color w:val="000000"/>
        </w:rPr>
        <w:t>大河文明</w:t>
      </w:r>
      <w:r>
        <w:rPr>
          <w:rFonts w:hint="eastAsia"/>
          <w:color w:val="000000"/>
        </w:rPr>
        <w:t>论坛</w:t>
      </w:r>
      <w:r>
        <w:rPr>
          <w:color w:val="000000"/>
        </w:rPr>
        <w:t>（</w:t>
      </w:r>
      <w:r>
        <w:rPr>
          <w:rFonts w:hint="eastAsia"/>
          <w:color w:val="000000"/>
        </w:rPr>
        <w:t>中国·</w:t>
      </w:r>
      <w:r>
        <w:rPr>
          <w:color w:val="000000"/>
        </w:rPr>
        <w:t>郑州）</w:t>
      </w:r>
      <w:r>
        <w:rPr>
          <w:rFonts w:hint="eastAsia"/>
          <w:color w:val="000000"/>
        </w:rPr>
        <w:t>。</w:t>
      </w:r>
      <w:r>
        <w:rPr>
          <w:rFonts w:hint="eastAsia" w:cs="仿宋"/>
          <w:color w:val="000000"/>
        </w:rPr>
        <w:t>依托</w:t>
      </w:r>
      <w:r>
        <w:rPr>
          <w:color w:val="000000"/>
        </w:rPr>
        <w:t>中国（郑州）</w:t>
      </w:r>
      <w:r>
        <w:rPr>
          <w:rFonts w:hint="eastAsia"/>
          <w:color w:val="000000"/>
        </w:rPr>
        <w:t>黄河</w:t>
      </w:r>
      <w:r>
        <w:rPr>
          <w:color w:val="000000"/>
        </w:rPr>
        <w:t>文化月</w:t>
      </w:r>
      <w:r>
        <w:rPr>
          <w:rFonts w:hint="eastAsia"/>
          <w:color w:val="000000"/>
        </w:rPr>
        <w:t>、</w:t>
      </w:r>
      <w:r>
        <w:rPr>
          <w:rFonts w:hint="eastAsia" w:cs="仿宋"/>
          <w:color w:val="000000"/>
        </w:rPr>
        <w:t>黄帝故里拜祖大典、国际旅游市长论坛、</w:t>
      </w:r>
      <w:r>
        <w:rPr>
          <w:rFonts w:hint="eastAsia"/>
          <w:color w:val="000000"/>
        </w:rPr>
        <w:t>第十一届中国花卉博览会等重大</w:t>
      </w:r>
      <w:r>
        <w:rPr>
          <w:color w:val="000000"/>
        </w:rPr>
        <w:t>活动，</w:t>
      </w:r>
      <w:r>
        <w:rPr>
          <w:rFonts w:hint="eastAsia"/>
          <w:color w:val="000000"/>
        </w:rPr>
        <w:t>扩大郑州历史文化传播途径。</w:t>
      </w:r>
    </w:p>
    <w:p>
      <w:pPr>
        <w:pStyle w:val="5"/>
        <w:spacing w:before="156" w:line="560" w:lineRule="exact"/>
        <w:ind w:firstLine="643"/>
        <w:rPr>
          <w:color w:val="000000"/>
        </w:rPr>
      </w:pPr>
      <w:r>
        <w:rPr>
          <w:rFonts w:hint="eastAsia"/>
          <w:color w:val="000000"/>
        </w:rPr>
        <w:t>（二）树立“早期中国”文化品牌</w:t>
      </w:r>
    </w:p>
    <w:p>
      <w:pPr>
        <w:spacing w:line="560" w:lineRule="exact"/>
        <w:ind w:firstLine="640" w:firstLineChars="200"/>
        <w:rPr>
          <w:color w:val="000000"/>
        </w:rPr>
      </w:pPr>
      <w:r>
        <w:rPr>
          <w:rFonts w:hint="eastAsia"/>
          <w:color w:val="000000"/>
        </w:rPr>
        <w:t>立足郑州文物资源对中华文明探源工程的实证作用，强化文物资源与文化旅游的深度融合，全面塑造“早期中国”文化品牌，全面融入郑汴洛国际文化旅游带建设。加强黄河文化、黄帝文化、夏文化、嵩山文化、商都文化、革命传统文化等资源阐释研究，形成“现代人类起源”“农业起源”“国家起源”“黄河文化”“黄帝文化”“早期中国”“古代都城”“天地之中”等主题游览线路。以标志性遗产为核心，开展主题突出、特色鲜明的的主题游览、文化研学、文化演艺活动，打造一批“早期中国”文化旅游目的地和文化旅游产品体系。</w:t>
      </w:r>
    </w:p>
    <w:p>
      <w:pPr>
        <w:pStyle w:val="5"/>
        <w:spacing w:before="156"/>
        <w:ind w:firstLine="643"/>
        <w:rPr>
          <w:rFonts w:cs="仿宋"/>
          <w:color w:val="000000"/>
        </w:rPr>
      </w:pPr>
      <w:r>
        <w:rPr>
          <w:rFonts w:hint="eastAsia"/>
          <w:color w:val="000000"/>
        </w:rPr>
        <w:t>（三）打造</w:t>
      </w:r>
      <w:r>
        <w:rPr>
          <w:rFonts w:hint="eastAsia" w:cs="仿宋"/>
          <w:color w:val="000000"/>
        </w:rPr>
        <w:t>郑州文创品牌矩阵</w:t>
      </w:r>
    </w:p>
    <w:p>
      <w:pPr>
        <w:spacing w:line="560" w:lineRule="exact"/>
        <w:ind w:firstLine="640" w:firstLineChars="200"/>
        <w:rPr>
          <w:color w:val="000000"/>
        </w:rPr>
      </w:pPr>
      <w:r>
        <w:rPr>
          <w:rFonts w:hint="eastAsia"/>
          <w:color w:val="000000"/>
        </w:rPr>
        <w:t>围绕“</w:t>
      </w:r>
      <w:r>
        <w:rPr>
          <w:color w:val="000000"/>
          <w:lang w:val="en"/>
        </w:rPr>
        <w:t>早期中国</w:t>
      </w:r>
      <w:r>
        <w:rPr>
          <w:rFonts w:hint="eastAsia"/>
          <w:color w:val="000000"/>
        </w:rPr>
        <w:t>”整体形象定位，重点培育文创数字产业、文创教育产业，建设以文博赋能的新型文创产业集聚区，打造数字经济与文旅产业融合新高地。建设郑州市文创展示平台，打造系列子品牌、宣传语、文创产品和文创活动体系，支撑城市形象塑造。构建历史文化IP矩阵，以著名历史人物、典型历史事件为原型，塑造I</w:t>
      </w:r>
      <w:r>
        <w:rPr>
          <w:color w:val="000000"/>
        </w:rPr>
        <w:t>P</w:t>
      </w:r>
      <w:r>
        <w:rPr>
          <w:rFonts w:hint="eastAsia"/>
          <w:color w:val="000000"/>
        </w:rPr>
        <w:t>形象，推动历史文化具象化传播。整合博物馆馆藏资源，培育博物馆文创品牌，推广博物馆品牌形象，扩展新型博物馆文创产业链。鼓励博物馆、文物考古单位与社会力量合作，充分发挥文物资源优势，建设文创展厅，推出一批文化内涵突出、契合现代审美的文创产品。</w:t>
      </w:r>
    </w:p>
    <w:p>
      <w:pPr>
        <w:pStyle w:val="5"/>
        <w:spacing w:before="156"/>
        <w:ind w:firstLine="643"/>
      </w:pPr>
      <w:r>
        <w:rPr>
          <w:rFonts w:hint="eastAsia"/>
        </w:rPr>
        <w:t>（四）创新文物资源研学教育模式</w:t>
      </w:r>
    </w:p>
    <w:p>
      <w:pPr>
        <w:spacing w:line="560" w:lineRule="exact"/>
        <w:ind w:firstLine="640" w:firstLineChars="200"/>
        <w:rPr>
          <w:rFonts w:cs="仿宋"/>
          <w:color w:val="000000"/>
          <w:szCs w:val="32"/>
        </w:rPr>
      </w:pPr>
      <w:r>
        <w:rPr>
          <w:rFonts w:cs="仿宋"/>
          <w:color w:val="000000"/>
          <w:szCs w:val="32"/>
        </w:rPr>
        <w:t>依托</w:t>
      </w:r>
      <w:r>
        <w:rPr>
          <w:rFonts w:hint="eastAsia" w:cs="仿宋"/>
          <w:color w:val="000000"/>
          <w:szCs w:val="32"/>
        </w:rPr>
        <w:t>全市</w:t>
      </w:r>
      <w:r>
        <w:rPr>
          <w:rFonts w:cs="仿宋"/>
          <w:color w:val="000000"/>
          <w:szCs w:val="32"/>
        </w:rPr>
        <w:t>文化遗产资源</w:t>
      </w:r>
      <w:r>
        <w:rPr>
          <w:rFonts w:hint="eastAsia" w:cs="仿宋"/>
          <w:color w:val="000000"/>
          <w:szCs w:val="32"/>
        </w:rPr>
        <w:t>，开发具有代表性和原创性的爱国主义、革命传统、中华优秀传统文化、生态文明等</w:t>
      </w:r>
      <w:r>
        <w:rPr>
          <w:rFonts w:cs="仿宋"/>
          <w:color w:val="000000"/>
          <w:szCs w:val="32"/>
        </w:rPr>
        <w:t>专题展览和</w:t>
      </w:r>
      <w:r>
        <w:rPr>
          <w:rFonts w:hint="eastAsia" w:cs="仿宋"/>
          <w:color w:val="000000"/>
          <w:szCs w:val="32"/>
        </w:rPr>
        <w:t>研学教育活动</w:t>
      </w:r>
      <w:r>
        <w:rPr>
          <w:rFonts w:cs="仿宋"/>
          <w:color w:val="000000"/>
          <w:szCs w:val="32"/>
        </w:rPr>
        <w:t>，综合运用解说导览、专题讲座</w:t>
      </w:r>
      <w:r>
        <w:rPr>
          <w:rFonts w:hint="eastAsia" w:cs="仿宋"/>
          <w:color w:val="000000"/>
          <w:szCs w:val="32"/>
        </w:rPr>
        <w:t>、数字展示</w:t>
      </w:r>
      <w:r>
        <w:rPr>
          <w:rFonts w:cs="仿宋"/>
          <w:color w:val="000000"/>
          <w:szCs w:val="32"/>
        </w:rPr>
        <w:t>等方式，增强趣味性、互动性和体验性。</w:t>
      </w:r>
      <w:r>
        <w:rPr>
          <w:rFonts w:hint="eastAsia" w:cs="仿宋"/>
          <w:color w:val="000000"/>
          <w:szCs w:val="32"/>
        </w:rPr>
        <w:t>积极开展精品文化</w:t>
      </w:r>
      <w:r>
        <w:rPr>
          <w:rFonts w:cs="仿宋"/>
          <w:color w:val="000000"/>
          <w:szCs w:val="32"/>
        </w:rPr>
        <w:t>遗产</w:t>
      </w:r>
      <w:r>
        <w:rPr>
          <w:rFonts w:hint="eastAsia" w:cs="仿宋"/>
          <w:color w:val="000000"/>
          <w:szCs w:val="32"/>
        </w:rPr>
        <w:t>“走出去”，加强</w:t>
      </w:r>
      <w:r>
        <w:rPr>
          <w:rFonts w:cs="仿宋"/>
          <w:color w:val="000000"/>
          <w:szCs w:val="32"/>
        </w:rPr>
        <w:t>文博单位</w:t>
      </w:r>
      <w:r>
        <w:rPr>
          <w:rFonts w:hint="eastAsia" w:cs="仿宋"/>
          <w:color w:val="000000"/>
          <w:szCs w:val="32"/>
        </w:rPr>
        <w:t>教育项目和“</w:t>
      </w:r>
      <w:r>
        <w:rPr>
          <w:rFonts w:cs="仿宋"/>
          <w:color w:val="000000"/>
          <w:szCs w:val="32"/>
        </w:rPr>
        <w:t>文化遗产</w:t>
      </w:r>
      <w:r>
        <w:rPr>
          <w:rFonts w:hint="eastAsia" w:cs="仿宋"/>
          <w:color w:val="000000"/>
          <w:szCs w:val="32"/>
        </w:rPr>
        <w:t>进校园”项目的设计研发和组织实施，把高品质</w:t>
      </w:r>
      <w:r>
        <w:rPr>
          <w:rFonts w:cs="仿宋"/>
          <w:color w:val="000000"/>
          <w:szCs w:val="32"/>
        </w:rPr>
        <w:t>文化遗产活动与</w:t>
      </w:r>
      <w:r>
        <w:rPr>
          <w:rFonts w:hint="eastAsia" w:cs="仿宋"/>
          <w:color w:val="000000"/>
          <w:szCs w:val="32"/>
        </w:rPr>
        <w:t>学校课堂教学和课后服务需求深度衔接。</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560" w:lineRule="exact"/>
              <w:jc w:val="center"/>
              <w:rPr>
                <w:rFonts w:ascii="Calibri" w:eastAsia="仿宋"/>
                <w:color w:val="auto"/>
                <w:kern w:val="2"/>
                <w:sz w:val="28"/>
                <w:szCs w:val="21"/>
              </w:rPr>
            </w:pPr>
            <w:r>
              <w:rPr>
                <w:rFonts w:hint="eastAsia" w:ascii="Calibri" w:eastAsia="仿宋"/>
                <w:color w:val="auto"/>
                <w:kern w:val="2"/>
                <w:sz w:val="28"/>
                <w:szCs w:val="21"/>
              </w:rPr>
              <w:t>专栏</w:t>
            </w:r>
            <w:r>
              <w:rPr>
                <w:rFonts w:hint="eastAsia" w:ascii="仿宋" w:hAnsi="仿宋" w:eastAsia="仿宋"/>
                <w:color w:val="auto"/>
                <w:kern w:val="2"/>
                <w:sz w:val="28"/>
                <w:szCs w:val="21"/>
              </w:rPr>
              <w:t xml:space="preserve"> </w:t>
            </w:r>
            <w:r>
              <w:rPr>
                <w:rFonts w:ascii="仿宋" w:hAnsi="仿宋" w:eastAsia="仿宋"/>
                <w:color w:val="auto"/>
                <w:kern w:val="2"/>
                <w:sz w:val="28"/>
                <w:szCs w:val="21"/>
              </w:rPr>
              <w:t>4</w:t>
            </w:r>
            <w:r>
              <w:rPr>
                <w:rFonts w:hint="eastAsia" w:ascii="Calibri" w:eastAsia="仿宋"/>
                <w:color w:val="auto"/>
                <w:kern w:val="2"/>
                <w:sz w:val="28"/>
                <w:szCs w:val="21"/>
              </w:rPr>
              <w:t xml:space="preserve"> 传承弘扬工程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480" w:lineRule="exact"/>
              <w:ind w:firstLine="560" w:firstLineChars="200"/>
              <w:jc w:val="both"/>
              <w:rPr>
                <w:rFonts w:ascii="Calibri" w:eastAsia="仿宋"/>
                <w:color w:val="auto"/>
                <w:kern w:val="2"/>
                <w:sz w:val="28"/>
                <w:szCs w:val="21"/>
              </w:rPr>
            </w:pPr>
            <w:r>
              <w:rPr>
                <w:rFonts w:hint="eastAsia" w:ascii="Calibri" w:eastAsia="仿宋"/>
                <w:color w:val="auto"/>
                <w:kern w:val="2"/>
                <w:sz w:val="28"/>
                <w:szCs w:val="21"/>
              </w:rPr>
              <w:t>主题游览线路建设：包括现代人类起源文化线路：串联洪沟遗址、织机洞遗址、老奶奶庙遗址、黄帝口遗址等文化资源；农业起源文化线路：串联裴李岗遗址、李家沟遗址、唐户遗址等文化资源；黄河文化线路：串联双槐树遗址、青台遗址、西山古城址、大河村遗址等文化资源，联动河洛汇流处、伏羲台遗址、黄河文化公园、黄河博物馆新馆；黄帝文化线路：串联黄帝千古情景区、望京楼遗址、黄帝故里、郑韩故城、始祖山（具茨山）、黄帝宫景区等文化资源；早期中国文化线路：串联古城寨遗址、新砦古遗址、王城岗遗址，联动二里头遗址等重要文化资源；古代都城文化线路：串联郑州商代遗址、小双桥遗址，联动偃师商城遗址、安阳殷墟、汉魏洛阳城、北宋东京城等文化资源；天地之中文化线路：串联“天地之中”历史建筑群、永泰寺塔、法王寺塔、大周封祀坛遗址等文化资源。</w:t>
            </w:r>
          </w:p>
          <w:p>
            <w:pPr>
              <w:pStyle w:val="14"/>
              <w:spacing w:line="480" w:lineRule="exact"/>
              <w:ind w:firstLine="560" w:firstLineChars="200"/>
              <w:jc w:val="both"/>
              <w:rPr>
                <w:rFonts w:ascii="Calibri" w:eastAsia="仿宋"/>
                <w:color w:val="auto"/>
                <w:kern w:val="2"/>
                <w:sz w:val="28"/>
                <w:szCs w:val="21"/>
              </w:rPr>
            </w:pPr>
            <w:r>
              <w:rPr>
                <w:rFonts w:hint="eastAsia" w:ascii="Calibri" w:eastAsia="仿宋"/>
                <w:color w:val="auto"/>
                <w:kern w:val="2"/>
                <w:sz w:val="28"/>
                <w:szCs w:val="21"/>
              </w:rPr>
              <w:t>研学教育工作：开展“知郑州，识中国”主题历史文化研学课程设计，搭建研学教育平台，高标准建设研学基地。</w:t>
            </w:r>
          </w:p>
          <w:p>
            <w:pPr>
              <w:pStyle w:val="14"/>
              <w:spacing w:line="480" w:lineRule="exact"/>
              <w:ind w:firstLine="560" w:firstLineChars="200"/>
              <w:jc w:val="both"/>
              <w:rPr>
                <w:rFonts w:ascii="Calibri" w:eastAsia="仿宋"/>
                <w:color w:val="auto"/>
                <w:kern w:val="2"/>
                <w:sz w:val="28"/>
                <w:szCs w:val="21"/>
              </w:rPr>
            </w:pPr>
            <w:r>
              <w:rPr>
                <w:rFonts w:hint="eastAsia" w:ascii="Calibri" w:eastAsia="仿宋"/>
                <w:color w:val="auto"/>
                <w:kern w:val="2"/>
                <w:sz w:val="28"/>
                <w:szCs w:val="21"/>
              </w:rPr>
              <w:t>文化创意产业工作：建设郑州市文创智库及文创产业孵化平台，支持黄河博物馆新馆、郑州商都遗址博物院、大河村仰韶文化博物馆等重点博物馆加强博物馆文创产业发展。</w:t>
            </w:r>
          </w:p>
        </w:tc>
      </w:tr>
    </w:tbl>
    <w:p>
      <w:pPr>
        <w:pStyle w:val="4"/>
        <w:spacing w:before="156"/>
        <w:ind w:firstLine="643"/>
      </w:pPr>
      <w:r>
        <w:rPr>
          <w:rFonts w:hint="eastAsia"/>
        </w:rPr>
        <w:t>五、健全博物馆体系，打造博物馆之城</w:t>
      </w:r>
    </w:p>
    <w:p>
      <w:pPr>
        <w:spacing w:line="560" w:lineRule="exact"/>
        <w:ind w:firstLine="640" w:firstLineChars="200"/>
        <w:rPr>
          <w:color w:val="000000"/>
        </w:rPr>
      </w:pPr>
      <w:r>
        <w:rPr>
          <w:rFonts w:hint="eastAsia"/>
          <w:color w:val="000000"/>
        </w:rPr>
        <w:t>深化百家博物馆建设战略，打造“主体多元、结构优化、特色鲜明、富有活力”的博物馆整体格局，支持社会力量参与博物馆建设，统筹不同地域、层级、类型博物馆发展，提高博物馆公共服务均等化、便捷化、多样化发展水平。</w:t>
      </w:r>
    </w:p>
    <w:p>
      <w:pPr>
        <w:pStyle w:val="5"/>
        <w:spacing w:before="156" w:line="560" w:lineRule="exact"/>
        <w:ind w:firstLine="643"/>
        <w:rPr>
          <w:color w:val="000000"/>
        </w:rPr>
      </w:pPr>
      <w:r>
        <w:rPr>
          <w:rFonts w:hint="eastAsia"/>
          <w:color w:val="000000"/>
        </w:rPr>
        <w:t>（一）强化国有博物馆主力军作用</w:t>
      </w:r>
    </w:p>
    <w:p>
      <w:pPr>
        <w:spacing w:line="560" w:lineRule="exact"/>
        <w:ind w:firstLine="640" w:firstLineChars="200"/>
        <w:rPr>
          <w:color w:val="000000"/>
        </w:rPr>
      </w:pPr>
      <w:r>
        <w:rPr>
          <w:rFonts w:hint="eastAsia" w:cs="仿宋_GB2312"/>
          <w:color w:val="000000"/>
          <w:szCs w:val="32"/>
        </w:rPr>
        <w:t>加快省博物馆群和中华文明主题乐园策划建设。充分发挥郑州博物馆新馆、</w:t>
      </w:r>
      <w:r>
        <w:rPr>
          <w:rFonts w:hint="eastAsia"/>
          <w:color w:val="000000"/>
        </w:rPr>
        <w:t>郑州商都遗址博物院及郑州文物考古研究院等国有博物馆</w:t>
      </w:r>
      <w:r>
        <w:rPr>
          <w:rFonts w:hint="eastAsia" w:cs="仿宋_GB2312"/>
          <w:color w:val="000000"/>
          <w:szCs w:val="32"/>
        </w:rPr>
        <w:t>公共文化服务主力军作用。健全国有博物馆机构建设政策法规，修订</w:t>
      </w:r>
      <w:r>
        <w:rPr>
          <w:rFonts w:hint="eastAsia"/>
          <w:color w:val="000000"/>
        </w:rPr>
        <w:t>《郑州市博物馆事业发展扶持办法》</w:t>
      </w:r>
      <w:r>
        <w:rPr>
          <w:rFonts w:hint="eastAsia" w:cs="仿宋_GB2312"/>
          <w:color w:val="000000"/>
          <w:szCs w:val="32"/>
        </w:rPr>
        <w:t>。加快大河村仰韶文化博物馆、郑州纺织工业遗址博物馆等一批重要场馆建成开放。</w:t>
      </w:r>
      <w:r>
        <w:rPr>
          <w:rFonts w:hint="eastAsia"/>
          <w:color w:val="000000"/>
        </w:rPr>
        <w:t>推进博物馆之间交流合作，鼓励博物馆积极探索多元化合作模式。深化博物馆免费开放机制，完善博物馆免费开放绩效评估管理体系，持续开展博物馆进学校、进社区、进乡镇、进企业社教活动，扩大公共文化服务覆盖面，促进博物馆公共文化服务标准化、均等化。多馆联合</w:t>
      </w:r>
      <w:r>
        <w:rPr>
          <w:color w:val="000000"/>
        </w:rPr>
        <w:t>开展博物馆黄河文化</w:t>
      </w:r>
      <w:r>
        <w:rPr>
          <w:rFonts w:hint="eastAsia"/>
          <w:color w:val="000000"/>
        </w:rPr>
        <w:t>系列精品</w:t>
      </w:r>
      <w:r>
        <w:rPr>
          <w:color w:val="000000"/>
        </w:rPr>
        <w:t>展览，完成一批主题</w:t>
      </w:r>
      <w:r>
        <w:rPr>
          <w:rFonts w:hint="eastAsia"/>
          <w:color w:val="000000"/>
        </w:rPr>
        <w:t>陈展</w:t>
      </w:r>
      <w:r>
        <w:rPr>
          <w:color w:val="000000"/>
        </w:rPr>
        <w:t>并对外</w:t>
      </w:r>
      <w:r>
        <w:rPr>
          <w:rFonts w:hint="eastAsia"/>
          <w:color w:val="000000"/>
        </w:rPr>
        <w:t>开放，</w:t>
      </w:r>
      <w:r>
        <w:rPr>
          <w:color w:val="000000"/>
        </w:rPr>
        <w:t>推出</w:t>
      </w:r>
      <w:r>
        <w:rPr>
          <w:rFonts w:hint="eastAsia"/>
          <w:color w:val="000000"/>
        </w:rPr>
        <w:t>一批优秀</w:t>
      </w:r>
      <w:r>
        <w:rPr>
          <w:color w:val="000000"/>
        </w:rPr>
        <w:t>展览</w:t>
      </w:r>
      <w:r>
        <w:rPr>
          <w:rFonts w:hint="eastAsia"/>
          <w:color w:val="000000"/>
        </w:rPr>
        <w:t>，完善博物馆陈列展览、社会教育和公共服务机制，提升博物馆公共文化服务水平。</w:t>
      </w:r>
    </w:p>
    <w:p>
      <w:pPr>
        <w:pStyle w:val="5"/>
        <w:spacing w:before="156" w:line="560" w:lineRule="exact"/>
        <w:ind w:firstLine="643"/>
        <w:rPr>
          <w:color w:val="000000"/>
        </w:rPr>
      </w:pPr>
      <w:r>
        <w:rPr>
          <w:rFonts w:hint="eastAsia"/>
          <w:color w:val="000000"/>
        </w:rPr>
        <w:t>（二）激发非国有博物馆发展潜力</w:t>
      </w:r>
    </w:p>
    <w:p>
      <w:pPr>
        <w:spacing w:line="560" w:lineRule="exact"/>
        <w:ind w:firstLine="640" w:firstLineChars="200"/>
        <w:rPr>
          <w:color w:val="000000"/>
        </w:rPr>
      </w:pPr>
      <w:r>
        <w:rPr>
          <w:rFonts w:hint="eastAsia"/>
          <w:color w:val="000000"/>
        </w:rPr>
        <w:t>探索制定扶持非国有博物馆发展政策，积极引导社会力量广泛参与非国有博物馆建设，建立健全国有博物馆与非国有博物馆之间的协作渠道和机制。开展非国有博物馆绩效考评工作，加强对全市非国有博物馆的日常管理和业务指导，鼓励非国有博物馆积极参加全国博物馆体系评估定级工作，不断提升办馆质量和服务效能。做好非国有博物馆藏品鉴定，依法依规推进非国有博物馆法人财产权确权。提升博物馆体系建设水平，实现“百家博物馆”从“数量增长”向“质量提升”的转变。</w:t>
      </w:r>
    </w:p>
    <w:p>
      <w:pPr>
        <w:pStyle w:val="5"/>
        <w:spacing w:before="156" w:line="560" w:lineRule="exact"/>
        <w:ind w:firstLine="643"/>
        <w:rPr>
          <w:color w:val="000000"/>
        </w:rPr>
      </w:pPr>
      <w:r>
        <w:rPr>
          <w:rFonts w:hint="eastAsia"/>
          <w:color w:val="000000"/>
        </w:rPr>
        <w:t>（三）加强馆藏可移动文物保护</w:t>
      </w:r>
      <w:r>
        <w:rPr>
          <w:color w:val="000000"/>
        </w:rPr>
        <w:t>管理</w:t>
      </w:r>
    </w:p>
    <w:p>
      <w:pPr>
        <w:spacing w:line="560" w:lineRule="exact"/>
        <w:ind w:firstLine="640" w:firstLineChars="200"/>
        <w:rPr>
          <w:color w:val="000000"/>
        </w:rPr>
      </w:pPr>
      <w:r>
        <w:rPr>
          <w:rFonts w:hint="eastAsia"/>
          <w:color w:val="000000"/>
        </w:rPr>
        <w:t>建立郑州国有可移动文物资源库，针对性制定文物保护措施，有序对公众进行展示利用。推动考古研究机构依法向博物馆移交考古发掘出土文物，建立出土文物接收、鉴定、登记、编目和档案制度，积极利用考古出土文物充实博物馆展陈。凸显科技对文物保护的引领作用，实施馆藏珍贵文物修复工程，运用新材料、激光技术、生物微生物病虫害防治技术、环境科学、地质科学等多种学科和技术开展馆藏文物病害调查和治理工作。引进三维扫描技术和3D打印技术应用于文物数据采集和修复，重点开展铁器、青铜器、漆木器、纺织品、书画等易损文物抢救性保护修复工作，提升馆藏文物保护基础设施和专业装备水平。推进馆藏文物保存条件达标和标准化库房建设工程。在文物收藏较为集中的博物馆，建设文物保存环境监测平台、环境调控系统和专有装置，实现国家一、二级博物馆文物保存环境全部达标。</w:t>
      </w:r>
    </w:p>
    <w:p>
      <w:pPr>
        <w:pStyle w:val="5"/>
        <w:spacing w:before="156"/>
        <w:ind w:firstLine="643"/>
      </w:pPr>
      <w:r>
        <w:rPr>
          <w:rFonts w:hint="eastAsia"/>
        </w:rPr>
        <w:t>（四）加快建设博物馆智慧化体系</w:t>
      </w:r>
    </w:p>
    <w:p>
      <w:pPr>
        <w:spacing w:line="560" w:lineRule="exact"/>
        <w:ind w:firstLine="645"/>
        <w:rPr>
          <w:color w:val="000000"/>
        </w:rPr>
      </w:pPr>
      <w:r>
        <w:rPr>
          <w:rFonts w:hint="eastAsia"/>
          <w:color w:val="000000"/>
        </w:rPr>
        <w:t>以博物馆智慧化体系建设为契机，实现实时监测</w:t>
      </w:r>
      <w:r>
        <w:rPr>
          <w:color w:val="000000"/>
        </w:rPr>
        <w:t>文物动态，搭建博物馆</w:t>
      </w:r>
      <w:r>
        <w:rPr>
          <w:rFonts w:hint="eastAsia"/>
          <w:color w:val="000000"/>
        </w:rPr>
        <w:t>云数据</w:t>
      </w:r>
      <w:r>
        <w:rPr>
          <w:color w:val="000000"/>
        </w:rPr>
        <w:t>中心、公共服务支撑平台和业务管理支撑平台</w:t>
      </w:r>
      <w:r>
        <w:rPr>
          <w:rFonts w:hint="eastAsia"/>
          <w:color w:val="000000"/>
        </w:rPr>
        <w:t>，构建</w:t>
      </w:r>
      <w:r>
        <w:rPr>
          <w:color w:val="000000"/>
        </w:rPr>
        <w:t>智慧化的保护、</w:t>
      </w:r>
      <w:r>
        <w:rPr>
          <w:rFonts w:hint="eastAsia"/>
          <w:color w:val="000000"/>
        </w:rPr>
        <w:t>管理</w:t>
      </w:r>
      <w:r>
        <w:rPr>
          <w:color w:val="000000"/>
        </w:rPr>
        <w:t>和服务</w:t>
      </w:r>
      <w:r>
        <w:rPr>
          <w:rFonts w:hint="eastAsia"/>
          <w:color w:val="000000"/>
        </w:rPr>
        <w:t>，</w:t>
      </w:r>
      <w:r>
        <w:rPr>
          <w:color w:val="000000"/>
        </w:rPr>
        <w:t>突破智慧博物馆展陈关键技术，构建文物知识图谱。</w:t>
      </w:r>
      <w:r>
        <w:rPr>
          <w:rFonts w:hint="eastAsia"/>
          <w:color w:val="000000"/>
        </w:rPr>
        <w:t>支持博物馆发展线上数字化体验产品，提供沉浸式体验、虚拟展厅、高清直播等新型文旅服务。依托“天地之中”历史建筑群、黄河博物馆新馆、大河村仰韶文化博物馆，完善</w:t>
      </w:r>
      <w:r>
        <w:rPr>
          <w:color w:val="000000"/>
        </w:rPr>
        <w:t>数字化展示</w:t>
      </w:r>
      <w:r>
        <w:rPr>
          <w:rFonts w:hint="eastAsia"/>
          <w:color w:val="000000"/>
        </w:rPr>
        <w:t>、智能导览</w:t>
      </w:r>
      <w:r>
        <w:rPr>
          <w:color w:val="000000"/>
        </w:rPr>
        <w:t>，</w:t>
      </w:r>
      <w:r>
        <w:rPr>
          <w:rFonts w:hint="eastAsia"/>
          <w:color w:val="000000"/>
        </w:rPr>
        <w:t>强化</w:t>
      </w:r>
      <w:r>
        <w:rPr>
          <w:color w:val="000000"/>
        </w:rPr>
        <w:t>视觉感受和互动体验</w:t>
      </w:r>
      <w:r>
        <w:rPr>
          <w:rFonts w:hint="eastAsia"/>
          <w:color w:val="000000"/>
        </w:rPr>
        <w:t>。充分发挥博物馆在文旅融合发展、促进文化消费中的作用，培育人民文化生活新风尚。</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560" w:lineRule="exact"/>
              <w:jc w:val="center"/>
              <w:rPr>
                <w:rFonts w:ascii="Calibri" w:eastAsia="仿宋"/>
                <w:kern w:val="2"/>
                <w:sz w:val="28"/>
                <w:szCs w:val="21"/>
              </w:rPr>
            </w:pPr>
            <w:r>
              <w:rPr>
                <w:rFonts w:hint="eastAsia" w:ascii="Calibri" w:eastAsia="仿宋"/>
                <w:kern w:val="2"/>
                <w:sz w:val="28"/>
                <w:szCs w:val="21"/>
              </w:rPr>
              <w:t>专栏</w:t>
            </w:r>
            <w:r>
              <w:rPr>
                <w:rFonts w:hint="eastAsia" w:ascii="仿宋" w:hAnsi="仿宋" w:eastAsia="仿宋"/>
                <w:kern w:val="2"/>
                <w:sz w:val="28"/>
                <w:szCs w:val="21"/>
              </w:rPr>
              <w:t xml:space="preserve"> 5 </w:t>
            </w:r>
            <w:r>
              <w:rPr>
                <w:rFonts w:hint="eastAsia" w:ascii="Calibri" w:eastAsia="仿宋"/>
                <w:kern w:val="2"/>
                <w:sz w:val="28"/>
                <w:szCs w:val="21"/>
              </w:rPr>
              <w:t>博物馆体系提升工程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480" w:lineRule="exact"/>
              <w:ind w:firstLine="560" w:firstLineChars="200"/>
              <w:jc w:val="both"/>
              <w:rPr>
                <w:rFonts w:ascii="Calibri" w:eastAsia="仿宋"/>
                <w:kern w:val="2"/>
                <w:sz w:val="28"/>
                <w:szCs w:val="21"/>
              </w:rPr>
            </w:pPr>
            <w:r>
              <w:rPr>
                <w:rFonts w:hint="eastAsia" w:ascii="Calibri" w:eastAsia="仿宋"/>
                <w:kern w:val="2"/>
                <w:sz w:val="28"/>
                <w:szCs w:val="21"/>
              </w:rPr>
              <w:t>博物馆建设项目：重点推进黄河博物馆新馆、中国仰韶文化博物馆、中国古代冶铁博物馆、郑州纺织工业遗址博物馆等国有骨干博物馆建设，加快高新双湖博物馆聚落、荥泽古城片区博物馆聚落、郑韩故城遗址博物馆建设。开展中华文明主题乐园及河南博物院新院、古代战争博物馆、中原建筑博物馆等</w:t>
            </w:r>
            <w:r>
              <w:rPr>
                <w:rFonts w:hint="eastAsia" w:ascii="仿宋" w:hAnsi="仿宋" w:eastAsia="仿宋"/>
                <w:kern w:val="2"/>
                <w:sz w:val="28"/>
                <w:szCs w:val="21"/>
              </w:rPr>
              <w:t>“1</w:t>
            </w:r>
            <w:r>
              <w:rPr>
                <w:rFonts w:ascii="仿宋" w:hAnsi="仿宋" w:eastAsia="仿宋"/>
                <w:kern w:val="2"/>
                <w:sz w:val="28"/>
                <w:szCs w:val="21"/>
              </w:rPr>
              <w:t>+N</w:t>
            </w:r>
            <w:r>
              <w:rPr>
                <w:rFonts w:hint="eastAsia" w:ascii="仿宋" w:hAnsi="仿宋" w:eastAsia="仿宋"/>
                <w:kern w:val="2"/>
                <w:sz w:val="28"/>
                <w:szCs w:val="21"/>
              </w:rPr>
              <w:t>”</w:t>
            </w:r>
            <w:r>
              <w:rPr>
                <w:rFonts w:hint="eastAsia" w:ascii="Calibri" w:eastAsia="仿宋"/>
                <w:kern w:val="2"/>
                <w:sz w:val="28"/>
                <w:szCs w:val="21"/>
              </w:rPr>
              <w:t>博物馆群建设。</w:t>
            </w:r>
          </w:p>
          <w:p>
            <w:pPr>
              <w:pStyle w:val="14"/>
              <w:spacing w:line="480" w:lineRule="exact"/>
              <w:ind w:firstLine="560" w:firstLineChars="200"/>
              <w:jc w:val="both"/>
              <w:rPr>
                <w:rFonts w:ascii="Calibri" w:eastAsia="仿宋"/>
                <w:kern w:val="2"/>
                <w:sz w:val="28"/>
                <w:szCs w:val="21"/>
              </w:rPr>
            </w:pPr>
            <w:r>
              <w:rPr>
                <w:rFonts w:hint="eastAsia" w:ascii="Calibri" w:eastAsia="仿宋"/>
                <w:kern w:val="2"/>
                <w:sz w:val="28"/>
                <w:szCs w:val="21"/>
              </w:rPr>
              <w:t>博物馆展陈、活动策划工作：参加河南省优秀陈列展览评选和“全国博物馆十大陈列展览精品推介活动”，参与京豫陕晋冀五省市博物馆理论与实践研讨会、五省市联展，组织好“博物馆之夜”和同期各类学术会议活动，办好“古都重宝耀中华展”。</w:t>
            </w:r>
          </w:p>
        </w:tc>
      </w:tr>
    </w:tbl>
    <w:p>
      <w:pPr>
        <w:pStyle w:val="4"/>
        <w:spacing w:before="156"/>
        <w:ind w:firstLine="643"/>
      </w:pPr>
      <w:r>
        <w:rPr>
          <w:rFonts w:hint="eastAsia"/>
        </w:rPr>
        <w:t>六、加强革命文物保护利用，赓续红色血脉</w:t>
      </w:r>
    </w:p>
    <w:p>
      <w:pPr>
        <w:spacing w:line="560" w:lineRule="exact"/>
        <w:ind w:firstLine="640" w:firstLineChars="200"/>
        <w:rPr>
          <w:color w:val="000000"/>
        </w:rPr>
      </w:pPr>
      <w:r>
        <w:rPr>
          <w:rFonts w:hint="eastAsia"/>
          <w:color w:val="000000"/>
        </w:rPr>
        <w:t>按照党和国家关于“用好红色资源、赓续红色血脉”工作要求，加强科学保护、开展系统研究、打造精品展览、强化教育功能，推进革命文物集中片区保护，发挥好革命文物在党史学习教育、革命传统教育、爱国主义教育等方面的独特作用，依托革命文物更好展现党的百年奋斗重大成就和历史经验，传播弘扬红色文化。</w:t>
      </w:r>
    </w:p>
    <w:p>
      <w:pPr>
        <w:pStyle w:val="5"/>
        <w:spacing w:before="156" w:line="560" w:lineRule="exact"/>
        <w:ind w:firstLine="643"/>
        <w:rPr>
          <w:color w:val="000000"/>
        </w:rPr>
      </w:pPr>
      <w:r>
        <w:rPr>
          <w:rFonts w:hint="eastAsia"/>
          <w:color w:val="000000"/>
        </w:rPr>
        <w:t>（一）夯实革命文物保护基础</w:t>
      </w:r>
    </w:p>
    <w:p>
      <w:pPr>
        <w:spacing w:line="560" w:lineRule="exact"/>
        <w:ind w:firstLine="640" w:firstLineChars="200"/>
      </w:pPr>
      <w:r>
        <w:rPr>
          <w:rFonts w:hint="eastAsia"/>
        </w:rPr>
        <w:t>实施革命文物排查登录工作，系统开展革命文物和相关史料调查征集，建立革命文物大数据库，推进革命文物资源信息开放共享。将革命文物日常维护工作纳入全市各级文物管理部门年度工作计划。文博科研单位要组织开展革命文物研究，深入挖掘革命文物蕴含的思想内涵和时代价值，丰富文物展示宣传内容。</w:t>
      </w:r>
    </w:p>
    <w:p>
      <w:pPr>
        <w:pStyle w:val="5"/>
        <w:spacing w:before="156" w:line="560" w:lineRule="exact"/>
        <w:ind w:firstLine="643"/>
        <w:rPr>
          <w:color w:val="000000"/>
        </w:rPr>
      </w:pPr>
      <w:r>
        <w:rPr>
          <w:rFonts w:hint="eastAsia"/>
          <w:color w:val="000000"/>
        </w:rPr>
        <w:t>（二）加大革命文物保护力度</w:t>
      </w:r>
    </w:p>
    <w:p>
      <w:pPr>
        <w:spacing w:line="560" w:lineRule="exact"/>
        <w:ind w:firstLine="640" w:firstLineChars="200"/>
        <w:rPr>
          <w:color w:val="000000"/>
        </w:rPr>
      </w:pPr>
      <w:r>
        <w:rPr>
          <w:rFonts w:hint="eastAsia"/>
          <w:color w:val="000000"/>
        </w:rPr>
        <w:t>加强维修保护工作，“十四五”期间基本完成市级以上革命旧址类文物保护单位的维修保护，重点实施一批重要革命文物保护利用工程。鼓励有条件的革命旧址类文物保护单位开展研究性保护项目。加强反映党领导八路军与中原人民团结抗战的嵩岳革命文物片区的保护利用工程，确保革命文物的历史真实性、风貌完整性、文化延续性，形成具有影响力的革命文物保护利用传承体系。</w:t>
      </w:r>
    </w:p>
    <w:p>
      <w:pPr>
        <w:pStyle w:val="5"/>
        <w:spacing w:before="156" w:line="560" w:lineRule="exact"/>
        <w:ind w:firstLine="643"/>
        <w:rPr>
          <w:color w:val="000000"/>
        </w:rPr>
      </w:pPr>
      <w:r>
        <w:rPr>
          <w:rFonts w:hint="eastAsia"/>
          <w:color w:val="000000"/>
        </w:rPr>
        <w:t>（三）拓展革命文物展示利用途径</w:t>
      </w:r>
    </w:p>
    <w:p>
      <w:pPr>
        <w:spacing w:line="560" w:lineRule="exact"/>
        <w:ind w:firstLine="640" w:firstLineChars="200"/>
        <w:rPr>
          <w:color w:val="000000"/>
        </w:rPr>
      </w:pPr>
      <w:r>
        <w:rPr>
          <w:rFonts w:hint="eastAsia"/>
          <w:color w:val="000000"/>
        </w:rPr>
        <w:t>充分发挥革命文物在党史学习教育、革命传统教育、爱国主义教育等方面的重要作用，依托郑州二七纪念馆等已开放并具有一定影响力的革命文物保护单位，通过报告会、宣讲会、诗歌朗诵等多种形式，增强吸引力、感染力和教育效果。提升革命文物展示水平，优化革命纪念馆、展览馆布局，支持二</w:t>
      </w:r>
      <w:r>
        <w:rPr>
          <w:color w:val="000000"/>
        </w:rPr>
        <w:t>七</w:t>
      </w:r>
      <w:r>
        <w:rPr>
          <w:rFonts w:hint="eastAsia"/>
          <w:color w:val="000000"/>
        </w:rPr>
        <w:t>纪念馆等一批革命纪念馆、展示馆展陈提升。策划推出革命文物陈列展览精品，合理利用现代科技手段，增强革命文物陈列展览表现力、传播力、影响力，推进革命文物联展巡演。拓展革命文物运用方式，用好革命文物资源，举办国家和群众性纪念活动，积极开展青少年教育活动。打造红色经典景区和精品线路，发展红色旅游及红色研学，依托革命文物开辟公共文化空间、提供公共服务，不断满足人民日益增长的美好生活需求。</w:t>
      </w:r>
    </w:p>
    <w:tbl>
      <w:tblPr>
        <w:tblStyle w:val="1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560" w:lineRule="exact"/>
              <w:jc w:val="center"/>
              <w:rPr>
                <w:rFonts w:ascii="Calibri" w:eastAsia="仿宋"/>
                <w:kern w:val="2"/>
                <w:sz w:val="28"/>
                <w:szCs w:val="21"/>
              </w:rPr>
            </w:pPr>
            <w:r>
              <w:rPr>
                <w:rFonts w:hint="eastAsia" w:ascii="Calibri" w:eastAsia="仿宋"/>
                <w:kern w:val="2"/>
                <w:sz w:val="28"/>
                <w:szCs w:val="21"/>
              </w:rPr>
              <w:t>专栏</w:t>
            </w:r>
            <w:r>
              <w:rPr>
                <w:rFonts w:hint="eastAsia" w:ascii="仿宋" w:hAnsi="仿宋" w:eastAsia="仿宋"/>
                <w:kern w:val="2"/>
                <w:sz w:val="28"/>
                <w:szCs w:val="21"/>
              </w:rPr>
              <w:t xml:space="preserve"> 6 </w:t>
            </w:r>
            <w:r>
              <w:rPr>
                <w:rFonts w:hint="eastAsia" w:ascii="Calibri" w:eastAsia="仿宋"/>
                <w:kern w:val="2"/>
                <w:sz w:val="28"/>
                <w:szCs w:val="21"/>
              </w:rPr>
              <w:t>革命文物保护利用工程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34" w:type="dxa"/>
            <w:shd w:val="clear" w:color="auto" w:fill="auto"/>
          </w:tcPr>
          <w:p>
            <w:pPr>
              <w:pStyle w:val="14"/>
              <w:spacing w:line="480" w:lineRule="exact"/>
              <w:ind w:firstLine="560" w:firstLineChars="200"/>
              <w:jc w:val="both"/>
              <w:rPr>
                <w:rFonts w:ascii="Calibri" w:eastAsia="仿宋"/>
                <w:kern w:val="2"/>
                <w:sz w:val="28"/>
                <w:szCs w:val="21"/>
              </w:rPr>
            </w:pPr>
            <w:r>
              <w:rPr>
                <w:rFonts w:hint="eastAsia" w:ascii="Calibri" w:eastAsia="仿宋"/>
                <w:kern w:val="2"/>
                <w:sz w:val="28"/>
                <w:szCs w:val="21"/>
              </w:rPr>
              <w:t>革命文物保护项目：重点开展登封县第一次党代会旧址、山头湾夜校农民协会旧址、巩义豫西行政干校等文物保护单位的整体保护维修、环境整治工作；实施嵩岳革命文物片区的保护利用工程，做好市级以上革命文物保护单位的本体保护、环境整治、基础设施建设、服务设施建设与展示提升工作。</w:t>
            </w:r>
          </w:p>
          <w:p>
            <w:pPr>
              <w:pStyle w:val="14"/>
              <w:spacing w:line="480" w:lineRule="exact"/>
              <w:ind w:firstLine="560" w:firstLineChars="200"/>
              <w:jc w:val="both"/>
              <w:rPr>
                <w:rFonts w:ascii="Calibri" w:eastAsia="仿宋"/>
                <w:kern w:val="2"/>
                <w:sz w:val="28"/>
                <w:szCs w:val="21"/>
              </w:rPr>
            </w:pPr>
            <w:r>
              <w:rPr>
                <w:rFonts w:hint="eastAsia" w:ascii="Calibri" w:eastAsia="仿宋"/>
                <w:kern w:val="2"/>
                <w:sz w:val="28"/>
                <w:szCs w:val="21"/>
              </w:rPr>
              <w:t>红色经典线路：围绕登封、新密、巩义、荥阳等豫西抗日根据地、纪念园等资源，打造抗战红色旅游线路；进一步巩固“二七”红色教育阵地，打造爱国主义红色旅游线路；提升红色旅游景点品质，打造各具特色的红色旅游区。</w:t>
            </w:r>
          </w:p>
        </w:tc>
      </w:tr>
    </w:tbl>
    <w:p>
      <w:pPr>
        <w:pStyle w:val="4"/>
        <w:spacing w:before="156"/>
        <w:ind w:firstLine="643"/>
      </w:pPr>
      <w:r>
        <w:rPr>
          <w:rFonts w:hint="eastAsia"/>
        </w:rPr>
        <w:t>七、坚守文物安全底线，强化文物资源管理</w:t>
      </w:r>
    </w:p>
    <w:p>
      <w:pPr>
        <w:spacing w:line="560" w:lineRule="exact"/>
        <w:ind w:firstLine="640" w:firstLineChars="200"/>
        <w:rPr>
          <w:rFonts w:cs="楷体"/>
          <w:color w:val="000000"/>
        </w:rPr>
      </w:pPr>
      <w:r>
        <w:rPr>
          <w:rFonts w:hint="eastAsia" w:cs="楷体"/>
          <w:color w:val="000000"/>
        </w:rPr>
        <w:t>时刻绷紧文物安全这根弦，强化文物安全责任落实，推广应用各项文物安全管护措施，指导各级加强文物安全防护工程建设，积极创建市平安建设单位，加强文物安全监管和行政执法规范化建设，推进文物安全治理能力现代化，加快全市文物安全智慧监管平台建设，进一步筑牢文物安全底线。</w:t>
      </w:r>
    </w:p>
    <w:p>
      <w:pPr>
        <w:pStyle w:val="5"/>
        <w:spacing w:before="156" w:line="560" w:lineRule="exact"/>
        <w:ind w:firstLine="643"/>
        <w:rPr>
          <w:color w:val="000000"/>
        </w:rPr>
      </w:pPr>
      <w:r>
        <w:rPr>
          <w:rFonts w:hint="eastAsia"/>
          <w:color w:val="000000"/>
        </w:rPr>
        <w:t>（一）健全文物资源管理机制</w:t>
      </w:r>
    </w:p>
    <w:p>
      <w:pPr>
        <w:spacing w:line="560" w:lineRule="exact"/>
        <w:ind w:firstLine="640" w:firstLineChars="200"/>
        <w:rPr>
          <w:rFonts w:cs="楷体"/>
          <w:color w:val="000000"/>
        </w:rPr>
      </w:pPr>
      <w:r>
        <w:rPr>
          <w:rFonts w:hint="eastAsia" w:cs="楷体"/>
          <w:color w:val="000000"/>
        </w:rPr>
        <w:t>完善不可移动文物资源管理机制，在国土空间规划中落实保护不可移动文物的空间管制措施，统筹划定文物保护单位保护范围和建设控制地带、地下文物埋藏区等，纳入国土空间规划“一张图”。积极推进第九批全国重点文物保护单位申报，加强第八批河南省文物保护单位基础保护工作，遴选公布第三批市级文物保护单位。完善可移动文物资源管理机制，健全博物馆藏品征集、登记、定级机制，做好民间收藏文物调查，优化考古出土文物、涉案文物移交制度。加强对军队文物、工业遗产、农业文化遗产、水利遗产、科技遗产的保护。整合全市不可移动文物信息数据，实现全市文物基础数据数字化、信息化、规范化。</w:t>
      </w:r>
    </w:p>
    <w:p>
      <w:pPr>
        <w:pStyle w:val="5"/>
        <w:spacing w:before="156" w:line="560" w:lineRule="exact"/>
        <w:ind w:firstLine="643"/>
        <w:rPr>
          <w:color w:val="000000"/>
        </w:rPr>
      </w:pPr>
      <w:r>
        <w:rPr>
          <w:rFonts w:hint="eastAsia"/>
          <w:color w:val="000000"/>
        </w:rPr>
        <w:t>（二）夯实文物安全工作基础</w:t>
      </w:r>
    </w:p>
    <w:p>
      <w:pPr>
        <w:spacing w:line="560" w:lineRule="exact"/>
        <w:ind w:firstLine="640" w:firstLineChars="200"/>
        <w:rPr>
          <w:color w:val="000000"/>
        </w:rPr>
      </w:pPr>
      <w:r>
        <w:rPr>
          <w:rFonts w:hint="eastAsia"/>
          <w:color w:val="000000"/>
        </w:rPr>
        <w:t>加强文物保护“四有”基础工作。维护、完善市级以上文物保护单位保护标志牌、保护界桩。全面完成市级以上文物保护单位保护范围、建设控制地带坐标体系数字化，建成“电子围栏”，建成市级以上文物保护单位基本情况信息数据库。强化文物库房建设，确保文物安全。开展基层文物库房达标建设，重点完成20处以上博物馆和基层文物收藏单位文物保存基础设施建设和提升改造任务。结合我市遗址遗迹丰富、考古任务较重的特征，支持有考古发掘资质的单位建设考古标本库房。实施重要田野文物巡护工程，进一步加强世界文化遗产和大型古遗址、古墓葬等文物保护单位巡护工作。引用无人机等现代技术手段，辅助开展文物保护单位现状调研、排查、巡护，查找涉嫌危害文物安全的文物行政违法具体地点，有效消除文物安全隐患。重点开展现有系统维护工作，保障已建成项目正常持续运行。加强资金保障，完善人员配备，采用地埋探测设施等新技术手段，实现全天候、高效率的巡护、监测。</w:t>
      </w:r>
    </w:p>
    <w:p>
      <w:pPr>
        <w:pStyle w:val="5"/>
        <w:spacing w:before="156" w:line="560" w:lineRule="exact"/>
        <w:ind w:firstLine="643"/>
        <w:rPr>
          <w:color w:val="000000"/>
        </w:rPr>
      </w:pPr>
      <w:r>
        <w:rPr>
          <w:rFonts w:hint="eastAsia"/>
          <w:color w:val="000000"/>
        </w:rPr>
        <w:t>（三）健全文物安全长效机制</w:t>
      </w:r>
    </w:p>
    <w:p>
      <w:pPr>
        <w:spacing w:line="560" w:lineRule="exact"/>
        <w:ind w:firstLine="640" w:firstLineChars="200"/>
        <w:rPr>
          <w:color w:val="000000"/>
        </w:rPr>
      </w:pPr>
      <w:r>
        <w:rPr>
          <w:rFonts w:hint="eastAsia"/>
          <w:color w:val="000000"/>
        </w:rPr>
        <w:t>进一步落实国务院办公厅《关于进一步加强文物安全工作的实施意见》，</w:t>
      </w:r>
      <w:r>
        <w:rPr>
          <w:color w:val="000000"/>
        </w:rPr>
        <w:t>健全文物安全工作机制和责任体系，</w:t>
      </w:r>
      <w:r>
        <w:rPr>
          <w:rFonts w:hint="eastAsia"/>
          <w:color w:val="000000"/>
        </w:rPr>
        <w:t>积极推动将文物安全工作全面纳入各级政府考核评价体系，列入社会治安综合治理考核体系，完善与公安机关联合防范打击文物犯罪工作机制，</w:t>
      </w:r>
      <w:r>
        <w:rPr>
          <w:color w:val="000000"/>
        </w:rPr>
        <w:t>深化文物安全隐患排查治理，组织常态化文物安全专项整治行动，加强重点领域监督管理。</w:t>
      </w:r>
      <w:r>
        <w:rPr>
          <w:rFonts w:hint="eastAsia"/>
          <w:color w:val="000000"/>
        </w:rPr>
        <w:t>重点加强省级以上文物保护单位、国有文物收藏单位安防、消防、防雷工程的建设</w:t>
      </w:r>
      <w:r>
        <w:rPr>
          <w:color w:val="000000"/>
        </w:rPr>
        <w:t>。深化文物安全教育培训</w:t>
      </w:r>
      <w:r>
        <w:rPr>
          <w:rFonts w:hint="eastAsia"/>
          <w:color w:val="000000"/>
        </w:rPr>
        <w:t>，修订</w:t>
      </w:r>
      <w:r>
        <w:rPr>
          <w:color w:val="000000"/>
        </w:rPr>
        <w:t>完善文物</w:t>
      </w:r>
      <w:r>
        <w:rPr>
          <w:rFonts w:hint="eastAsia"/>
          <w:color w:val="000000"/>
        </w:rPr>
        <w:t>突发事件</w:t>
      </w:r>
      <w:r>
        <w:rPr>
          <w:color w:val="000000"/>
        </w:rPr>
        <w:t>应急工作</w:t>
      </w:r>
      <w:r>
        <w:rPr>
          <w:rFonts w:hint="eastAsia"/>
          <w:color w:val="000000"/>
        </w:rPr>
        <w:t>制度，</w:t>
      </w:r>
      <w:r>
        <w:rPr>
          <w:color w:val="000000"/>
        </w:rPr>
        <w:t>健全文物安全风险评价预警机制，探索推进全市文物安全</w:t>
      </w:r>
      <w:r>
        <w:rPr>
          <w:rFonts w:hint="eastAsia"/>
          <w:color w:val="000000"/>
        </w:rPr>
        <w:t>监管</w:t>
      </w:r>
      <w:r>
        <w:rPr>
          <w:color w:val="000000"/>
        </w:rPr>
        <w:t>平台建设，提升智能化、精细化管理水平。</w:t>
      </w:r>
      <w:r>
        <w:rPr>
          <w:rFonts w:hint="eastAsia"/>
          <w:color w:val="000000"/>
        </w:rPr>
        <w:t>以文物法人违法案件为重点，加强文物执法巡查，加大文物违法案件查处力度，强化文物执法工作科技、装备应用。不断落实政府属地管理主体责任、相关部门法定职责、文物部门监管职责，形成“政府主导、部门协作、单位负责、社会参与、打防结合、综合治理”的文物安全工作格局。</w:t>
      </w:r>
    </w:p>
    <w:p>
      <w:pPr>
        <w:pStyle w:val="14"/>
      </w:pPr>
      <w:r>
        <w:br w:type="page"/>
      </w:r>
    </w:p>
    <w:p>
      <w:pPr>
        <w:pStyle w:val="3"/>
        <w:ind w:firstLine="640"/>
        <w:rPr>
          <w:color w:val="000000"/>
        </w:rPr>
      </w:pPr>
      <w:r>
        <w:rPr>
          <w:rFonts w:hint="eastAsia"/>
          <w:color w:val="000000"/>
        </w:rPr>
        <w:t xml:space="preserve">第三章 </w:t>
      </w:r>
      <w:r>
        <w:rPr>
          <w:color w:val="000000"/>
        </w:rPr>
        <w:t xml:space="preserve"> </w:t>
      </w:r>
      <w:r>
        <w:rPr>
          <w:rFonts w:hint="eastAsia"/>
          <w:color w:val="000000"/>
        </w:rPr>
        <w:t>保障措施</w:t>
      </w:r>
    </w:p>
    <w:p>
      <w:pPr>
        <w:pStyle w:val="4"/>
        <w:spacing w:before="156" w:line="560" w:lineRule="exact"/>
        <w:ind w:firstLine="643"/>
        <w:rPr>
          <w:color w:val="000000"/>
        </w:rPr>
      </w:pPr>
      <w:r>
        <w:rPr>
          <w:rFonts w:hint="eastAsia"/>
          <w:color w:val="000000"/>
        </w:rPr>
        <w:t>一、政策及制度保障</w:t>
      </w:r>
    </w:p>
    <w:p>
      <w:pPr>
        <w:spacing w:line="560" w:lineRule="exact"/>
        <w:ind w:firstLine="640" w:firstLineChars="200"/>
        <w:rPr>
          <w:color w:val="000000"/>
        </w:rPr>
      </w:pPr>
      <w:r>
        <w:rPr>
          <w:rFonts w:hint="eastAsia"/>
          <w:color w:val="000000"/>
        </w:rPr>
        <w:t>建立健全文物保护责任制度和政策体系。将文物工作纳入经济社会发展规划、纳入城乡建设规划、纳入财政预算、纳入体制改革和纳入各级领导责任制。明确各级政府作为文物保护的责任主体，压实主体责任，加强部门协同、社会协作机制建设。强化文物主管部门对各区县（市）文物调查、勘探及配合国家、省市考古发掘工作的规范性文件的制定、修改、完善，协调文物部门与宣传、旅游、教育、水利等其他相关部门高效推动文物保护工作开展。构建系统、立体、完备的文化政策支撑体系。研究制定符合文化遗产保护传承需求、体现文化产业要求、展示郑州文化特色的相关政策。积极探索博物馆、遗址公园社会化运营模式，出台相关扶持政策，支持社会团体、企业等参与到博物馆、遗址公园建设运营。</w:t>
      </w:r>
    </w:p>
    <w:p>
      <w:pPr>
        <w:pStyle w:val="4"/>
        <w:spacing w:before="156" w:line="560" w:lineRule="exact"/>
        <w:ind w:firstLine="643"/>
        <w:rPr>
          <w:color w:val="000000"/>
        </w:rPr>
      </w:pPr>
      <w:r>
        <w:rPr>
          <w:rFonts w:hint="eastAsia"/>
          <w:color w:val="000000"/>
        </w:rPr>
        <w:t>二、加强法制建设</w:t>
      </w:r>
    </w:p>
    <w:p>
      <w:pPr>
        <w:spacing w:line="560" w:lineRule="exact"/>
        <w:ind w:firstLine="640" w:firstLineChars="200"/>
        <w:rPr>
          <w:color w:val="000000"/>
        </w:rPr>
      </w:pPr>
      <w:r>
        <w:rPr>
          <w:rFonts w:hint="eastAsia"/>
          <w:color w:val="000000"/>
        </w:rPr>
        <w:t>严格执行《中华人民共和国文物保护法》等法律法规，落实《长城保护条例》，开展大运河保护和国家考古遗址公园法律制度研究，加强文物领域法律与其他法律衔接，根据实践需要，制定相关文物保护地方性法规。增强文物行政管理人员的依法行政能力。加强文物法治宣传教育，提高全体公民及法人的文物保护法律意识。</w:t>
      </w:r>
    </w:p>
    <w:p>
      <w:pPr>
        <w:pStyle w:val="4"/>
        <w:spacing w:before="156" w:line="560" w:lineRule="exact"/>
        <w:ind w:firstLine="643"/>
        <w:rPr>
          <w:color w:val="000000"/>
        </w:rPr>
      </w:pPr>
      <w:r>
        <w:rPr>
          <w:rFonts w:hint="eastAsia"/>
          <w:color w:val="000000"/>
        </w:rPr>
        <w:t>三、强化资金保障</w:t>
      </w:r>
    </w:p>
    <w:p>
      <w:pPr>
        <w:spacing w:line="560" w:lineRule="exact"/>
        <w:ind w:firstLine="640" w:firstLineChars="200"/>
        <w:rPr>
          <w:rFonts w:hint="eastAsia"/>
          <w:color w:val="000000"/>
        </w:rPr>
      </w:pPr>
      <w:r>
        <w:rPr>
          <w:rFonts w:hint="eastAsia"/>
          <w:color w:val="000000"/>
        </w:rPr>
        <w:t>积极争取国家、省级各类文物保护专项资金，统筹安排市本级文物保护资金，加强资金使用监管，用活文创、研学等方面专项经费。对于市场机制能充分发挥作用的项目，鼓励引入社会资本参与建设和管理，大力推广政府和社会资本合作模式，逐步建立起政府引导、社会参与的多元化投融资方式，营造社会各界共同参与文物保护利用的良好投资环境。</w:t>
      </w:r>
    </w:p>
    <w:p>
      <w:pPr>
        <w:spacing w:line="560" w:lineRule="exact"/>
        <w:ind w:firstLine="640" w:firstLineChars="200"/>
      </w:pPr>
      <w:r>
        <w:rPr>
          <w:rFonts w:hint="eastAsia"/>
          <w:color w:val="000000"/>
        </w:rPr>
        <w:t>加强各级</w:t>
      </w:r>
      <w:r>
        <w:rPr>
          <w:color w:val="000000"/>
        </w:rPr>
        <w:t>文物保护专项资金</w:t>
      </w:r>
      <w:r>
        <w:rPr>
          <w:rFonts w:hint="eastAsia"/>
          <w:color w:val="000000"/>
        </w:rPr>
        <w:t>管理与使用。按照《财政部 国家文物局关于加强国家文保护资金管理的意见》（财政</w:t>
      </w:r>
      <w:r>
        <w:rPr>
          <w:color w:val="000000"/>
        </w:rPr>
        <w:t>〔</w:t>
      </w:r>
      <w:r>
        <w:rPr>
          <w:rFonts w:hint="eastAsia"/>
          <w:color w:val="000000"/>
        </w:rPr>
        <w:t>2020</w:t>
      </w:r>
      <w:r>
        <w:rPr>
          <w:color w:val="000000"/>
        </w:rPr>
        <w:t>〕</w:t>
      </w:r>
      <w:r>
        <w:rPr>
          <w:rFonts w:hint="eastAsia"/>
          <w:color w:val="000000"/>
        </w:rPr>
        <w:t>244号）文件要求，</w:t>
      </w:r>
      <w:r>
        <w:rPr>
          <w:color w:val="000000"/>
        </w:rPr>
        <w:t>坚持</w:t>
      </w:r>
      <w:r>
        <w:rPr>
          <w:rFonts w:hint="eastAsia"/>
          <w:color w:val="000000"/>
        </w:rPr>
        <w:t>项目预算</w:t>
      </w:r>
      <w:r>
        <w:rPr>
          <w:color w:val="000000"/>
        </w:rPr>
        <w:t>“一评终评”原则，各区、县（市）要严格按照文物保护项目总预算控制数推进项目实施，不得重复评审。</w:t>
      </w:r>
      <w:r>
        <w:rPr>
          <w:rFonts w:hint="eastAsia"/>
          <w:color w:val="000000"/>
        </w:rPr>
        <w:t>项目实施单位要</w:t>
      </w:r>
      <w:r>
        <w:rPr>
          <w:color w:val="000000"/>
        </w:rPr>
        <w:t>加强统筹协调，及时开展</w:t>
      </w:r>
      <w:r>
        <w:rPr>
          <w:rFonts w:hint="eastAsia"/>
          <w:color w:val="000000"/>
        </w:rPr>
        <w:t>项目</w:t>
      </w:r>
      <w:r>
        <w:rPr>
          <w:color w:val="000000"/>
        </w:rPr>
        <w:t>招投标工作，按照年度计划</w:t>
      </w:r>
      <w:r>
        <w:rPr>
          <w:rFonts w:hint="eastAsia"/>
          <w:color w:val="000000"/>
        </w:rPr>
        <w:t>和绩效目标</w:t>
      </w:r>
      <w:r>
        <w:rPr>
          <w:color w:val="000000"/>
        </w:rPr>
        <w:t>及时推进</w:t>
      </w:r>
      <w:r>
        <w:rPr>
          <w:rFonts w:hint="eastAsia"/>
          <w:color w:val="000000"/>
        </w:rPr>
        <w:t>项目</w:t>
      </w:r>
      <w:r>
        <w:rPr>
          <w:color w:val="000000"/>
        </w:rPr>
        <w:t>进度，确保项目实施质量</w:t>
      </w:r>
      <w:r>
        <w:rPr>
          <w:rFonts w:hint="eastAsia"/>
          <w:color w:val="000000"/>
        </w:rPr>
        <w:t>，并</w:t>
      </w:r>
      <w:r>
        <w:rPr>
          <w:color w:val="000000"/>
        </w:rPr>
        <w:t>妥善处理好</w:t>
      </w:r>
      <w:r>
        <w:rPr>
          <w:rFonts w:hint="eastAsia"/>
          <w:color w:val="000000"/>
        </w:rPr>
        <w:t>项目</w:t>
      </w:r>
      <w:r>
        <w:rPr>
          <w:color w:val="000000"/>
        </w:rPr>
        <w:t>与资金支付进度之间的衔接，切实提高资金使用</w:t>
      </w:r>
      <w:r>
        <w:rPr>
          <w:rFonts w:hint="eastAsia"/>
          <w:color w:val="000000"/>
        </w:rPr>
        <w:t>效率。</w:t>
      </w:r>
    </w:p>
    <w:p>
      <w:pPr>
        <w:pStyle w:val="4"/>
        <w:spacing w:before="156" w:line="560" w:lineRule="exact"/>
        <w:ind w:firstLine="643"/>
        <w:rPr>
          <w:color w:val="000000"/>
        </w:rPr>
      </w:pPr>
      <w:r>
        <w:rPr>
          <w:rFonts w:hint="eastAsia"/>
          <w:color w:val="000000"/>
        </w:rPr>
        <w:t>四、完善人才保障机制</w:t>
      </w:r>
    </w:p>
    <w:p>
      <w:pPr>
        <w:spacing w:line="560" w:lineRule="exact"/>
        <w:ind w:firstLine="640" w:firstLineChars="200"/>
        <w:rPr>
          <w:color w:val="000000"/>
        </w:rPr>
      </w:pPr>
      <w:r>
        <w:rPr>
          <w:rFonts w:hint="eastAsia"/>
          <w:color w:val="000000"/>
        </w:rPr>
        <w:t>深入贯彻落实《中共中央办公厅、国务院办公厅关于加强文物保护利用改革的若干意见》(中办发〔2018〕54号)、《中央编办关于加强文物保护和考古工作机构编制保障的通知》(中编办发〔2021〕195号)、《河南省委编办关于印发&lt;河南省加强文物保护和考古工作机构编制保障的实施方案&gt;的通知》(豫编办〔2021〕246号)等文件精神，按照市委关于加强文物保护和考古工作要求，站位全局、放远未来，认真研究全面加强文物保护和考古工作硬核举措，努力在丰富城市文化底蕴、展示城市丰韵、激发城市神韵中出重彩、出浓彩、出城市竞争力。</w:t>
      </w:r>
    </w:p>
    <w:p>
      <w:pPr>
        <w:spacing w:line="560" w:lineRule="exact"/>
        <w:ind w:firstLine="640" w:firstLineChars="200"/>
        <w:rPr>
          <w:color w:val="000000"/>
        </w:rPr>
      </w:pPr>
      <w:r>
        <w:rPr>
          <w:rFonts w:hint="eastAsia"/>
          <w:color w:val="000000"/>
        </w:rPr>
        <w:t>坚持党管人才原则，形成事业引人、环境留人、平台育人导向。根据全市文物博物馆事业发展需要，开辟引进高层次人才（团队）、急需紧缺人才（团队）绿色通道，加强青年拔尖人才、“四个一批”人才、文化名家等各类人才培养、管理，发挥高层次文博人才引领示范作用。加强专业技术人才队伍建设，组织实施专业技术人员继续教育，抓好专家选拔推荐、专业技术人才选拔工作。创新和完善事业单位人才选拔任用机制，深化事业单位人事制度改革，落实事业单位公开招聘制度，加强事业单位聘用合同管理，健全完善事业单位工作人员考核、奖励、培训机制。</w:t>
      </w:r>
    </w:p>
    <w:p>
      <w:pPr>
        <w:rPr>
          <w:color w:val="000000"/>
        </w:rPr>
        <w:sectPr>
          <w:footerReference r:id="rId3" w:type="default"/>
          <w:pgSz w:w="11906" w:h="16838"/>
          <w:pgMar w:top="2211" w:right="1531" w:bottom="1701" w:left="1531" w:header="851" w:footer="992" w:gutter="0"/>
          <w:pgNumType w:fmt="numberInDash"/>
          <w:cols w:space="720" w:num="1"/>
          <w:docGrid w:type="lines" w:linePitch="312" w:charSpace="0"/>
        </w:sectPr>
      </w:pPr>
    </w:p>
    <w:p>
      <w:pPr>
        <w:pStyle w:val="4"/>
        <w:spacing w:before="217"/>
        <w:ind w:firstLine="643"/>
      </w:pPr>
      <w:r>
        <w:rPr>
          <w:rFonts w:hint="eastAsia"/>
        </w:rPr>
        <w:t>附图一：</w:t>
      </w:r>
      <w:bookmarkStart w:id="5" w:name="_Hlk112253147"/>
      <w:r>
        <w:rPr>
          <w:rFonts w:hint="eastAsia"/>
        </w:rPr>
        <w:t>郑州市“两带一心”城市文化总体格局图</w:t>
      </w:r>
    </w:p>
    <w:bookmarkEnd w:id="5"/>
    <w:p>
      <w:pPr>
        <w:jc w:val="center"/>
      </w:pPr>
      <w:r>
        <w:t xml:space="preserve">  </w:t>
      </w:r>
      <w:r>
        <w:drawing>
          <wp:inline distT="0" distB="0" distL="0" distR="0">
            <wp:extent cx="7515225" cy="50482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7517403" cy="5049792"/>
                    </a:xfrm>
                    <a:prstGeom prst="rect">
                      <a:avLst/>
                    </a:prstGeom>
                    <a:noFill/>
                    <a:ln>
                      <a:noFill/>
                    </a:ln>
                  </pic:spPr>
                </pic:pic>
              </a:graphicData>
            </a:graphic>
          </wp:inline>
        </w:drawing>
      </w:r>
    </w:p>
    <w:p>
      <w:pPr>
        <w:pStyle w:val="4"/>
        <w:spacing w:before="217"/>
        <w:ind w:firstLine="643"/>
      </w:pPr>
      <w:r>
        <w:rPr>
          <w:rFonts w:hint="eastAsia"/>
        </w:rPr>
        <w:t>附图二：郑州市域文化展示空间布局图</w:t>
      </w:r>
    </w:p>
    <w:p>
      <w:pPr>
        <w:pStyle w:val="14"/>
        <w:jc w:val="center"/>
      </w:pPr>
      <w:r>
        <w:t xml:space="preserve"> </w:t>
      </w:r>
      <w:r>
        <w:drawing>
          <wp:inline distT="0" distB="0" distL="0" distR="0">
            <wp:extent cx="7422515" cy="4987290"/>
            <wp:effectExtent l="0" t="0" r="6985" b="38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429635" cy="4991983"/>
                    </a:xfrm>
                    <a:prstGeom prst="rect">
                      <a:avLst/>
                    </a:prstGeom>
                    <a:noFill/>
                    <a:ln>
                      <a:noFill/>
                    </a:ln>
                  </pic:spPr>
                </pic:pic>
              </a:graphicData>
            </a:graphic>
          </wp:inline>
        </w:drawing>
      </w:r>
    </w:p>
    <w:p>
      <w:pPr>
        <w:pStyle w:val="4"/>
        <w:spacing w:before="217"/>
        <w:ind w:firstLine="643"/>
      </w:pPr>
      <w:r>
        <w:rPr>
          <w:rFonts w:hint="eastAsia"/>
        </w:rPr>
        <w:t>附图三：郑州市文物博物馆事业“十四五”重点项目分布图</w:t>
      </w:r>
    </w:p>
    <w:p>
      <w:pPr>
        <w:jc w:val="center"/>
      </w:pPr>
      <w:r>
        <w:drawing>
          <wp:inline distT="0" distB="0" distL="0" distR="0">
            <wp:extent cx="7481570" cy="5029200"/>
            <wp:effectExtent l="0" t="0" r="508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7485901" cy="5032105"/>
                    </a:xfrm>
                    <a:prstGeom prst="rect">
                      <a:avLst/>
                    </a:prstGeom>
                    <a:noFill/>
                    <a:ln>
                      <a:noFill/>
                    </a:ln>
                  </pic:spPr>
                </pic:pic>
              </a:graphicData>
            </a:graphic>
          </wp:inline>
        </w:drawing>
      </w:r>
      <w:r>
        <w:t xml:space="preserve">  </w:t>
      </w:r>
    </w:p>
    <w:sectPr>
      <w:pgSz w:w="16838" w:h="11906" w:orient="landscape"/>
      <w:pgMar w:top="1531" w:right="2211" w:bottom="1531" w:left="1701" w:header="851" w:footer="992" w:gutter="0"/>
      <w:pgNumType w:fmt="numberInDash"/>
      <w:cols w:space="720" w:num="1"/>
      <w:docGrid w:type="lines" w:linePitch="435"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方正小标宋简体">
    <w:altName w:val="黑体"/>
    <w:panose1 w:val="02000000000000000000"/>
    <w:charset w:val="86"/>
    <w:family w:val="script"/>
    <w:pitch w:val="default"/>
    <w:sig w:usb0="00000000" w:usb1="00000000" w:usb2="00000012" w:usb3="00000000" w:csb0="00040001" w:csb1="00000000"/>
  </w:font>
  <w:font w:name="华文楷体">
    <w:altName w:val="宋体"/>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61805614"/>
    </w:sdtPr>
    <w:sdtEndPr>
      <w:rPr>
        <w:sz w:val="21"/>
        <w:szCs w:val="21"/>
      </w:rPr>
    </w:sdtEndPr>
    <w:sdtContent>
      <w:p>
        <w:pPr>
          <w:pStyle w:val="8"/>
          <w:jc w:val="center"/>
          <w:rPr>
            <w:sz w:val="21"/>
            <w:szCs w:val="21"/>
          </w:rP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2</w:t>
        </w:r>
        <w:r>
          <w:rPr>
            <w:sz w:val="21"/>
            <w:szCs w:val="21"/>
          </w:rPr>
          <w:fldChar w:fldCharType="end"/>
        </w:r>
      </w:p>
    </w:sdtContent>
  </w:sdt>
  <w:p>
    <w:pPr>
      <w:pStyle w:val="8"/>
    </w:pPr>
  </w:p>
</w:ftr>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xb21cn">
    <w15:presenceInfo w15:providerId="None" w15:userId="xb21c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60"/>
  <w:drawingGridVerticalSpacing w:val="435"/>
  <w:displayHorizont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WNmOGFmOWY1MWE0OGU2NDAzOGIzMWFmZjEwOWEyN2YifQ=="/>
  </w:docVars>
  <w:rsids>
    <w:rsidRoot w:val="00307610"/>
    <w:rsid w:val="0000131D"/>
    <w:rsid w:val="000016DD"/>
    <w:rsid w:val="0000459D"/>
    <w:rsid w:val="000050F6"/>
    <w:rsid w:val="00006202"/>
    <w:rsid w:val="00011C6E"/>
    <w:rsid w:val="00013775"/>
    <w:rsid w:val="000146A3"/>
    <w:rsid w:val="000159DF"/>
    <w:rsid w:val="00016080"/>
    <w:rsid w:val="00020B96"/>
    <w:rsid w:val="00022237"/>
    <w:rsid w:val="00025D0A"/>
    <w:rsid w:val="000267F8"/>
    <w:rsid w:val="00030432"/>
    <w:rsid w:val="000312C6"/>
    <w:rsid w:val="0003227F"/>
    <w:rsid w:val="00034BD4"/>
    <w:rsid w:val="000360FC"/>
    <w:rsid w:val="000429B6"/>
    <w:rsid w:val="00044C26"/>
    <w:rsid w:val="0005669B"/>
    <w:rsid w:val="00063235"/>
    <w:rsid w:val="00063964"/>
    <w:rsid w:val="00065836"/>
    <w:rsid w:val="00066641"/>
    <w:rsid w:val="00066C5A"/>
    <w:rsid w:val="00067644"/>
    <w:rsid w:val="000678D0"/>
    <w:rsid w:val="00067E9E"/>
    <w:rsid w:val="00070A1C"/>
    <w:rsid w:val="00072D96"/>
    <w:rsid w:val="0007340C"/>
    <w:rsid w:val="00076679"/>
    <w:rsid w:val="00080518"/>
    <w:rsid w:val="00080A45"/>
    <w:rsid w:val="000836D2"/>
    <w:rsid w:val="00087452"/>
    <w:rsid w:val="00093B79"/>
    <w:rsid w:val="0009492F"/>
    <w:rsid w:val="00097E99"/>
    <w:rsid w:val="000A03A1"/>
    <w:rsid w:val="000A3B37"/>
    <w:rsid w:val="000A4EBA"/>
    <w:rsid w:val="000B0E73"/>
    <w:rsid w:val="000B108C"/>
    <w:rsid w:val="000B326A"/>
    <w:rsid w:val="000C0B8E"/>
    <w:rsid w:val="000C18D7"/>
    <w:rsid w:val="000C1B3A"/>
    <w:rsid w:val="000C65DA"/>
    <w:rsid w:val="000C6981"/>
    <w:rsid w:val="000C6F1F"/>
    <w:rsid w:val="000C722F"/>
    <w:rsid w:val="000C7703"/>
    <w:rsid w:val="000C7FC0"/>
    <w:rsid w:val="000D28CB"/>
    <w:rsid w:val="000D33C5"/>
    <w:rsid w:val="000D429B"/>
    <w:rsid w:val="000D6AA6"/>
    <w:rsid w:val="000D6AAC"/>
    <w:rsid w:val="000E0C72"/>
    <w:rsid w:val="000E477D"/>
    <w:rsid w:val="000F28EE"/>
    <w:rsid w:val="000F66FD"/>
    <w:rsid w:val="000F7CB6"/>
    <w:rsid w:val="001017DE"/>
    <w:rsid w:val="0010363D"/>
    <w:rsid w:val="00104144"/>
    <w:rsid w:val="00106BC4"/>
    <w:rsid w:val="00107437"/>
    <w:rsid w:val="00110025"/>
    <w:rsid w:val="0012081D"/>
    <w:rsid w:val="00122367"/>
    <w:rsid w:val="00124A9A"/>
    <w:rsid w:val="00124EEA"/>
    <w:rsid w:val="00126F45"/>
    <w:rsid w:val="001270D0"/>
    <w:rsid w:val="00131193"/>
    <w:rsid w:val="00140A13"/>
    <w:rsid w:val="00142012"/>
    <w:rsid w:val="00143492"/>
    <w:rsid w:val="00145C07"/>
    <w:rsid w:val="00147DC0"/>
    <w:rsid w:val="00147F9D"/>
    <w:rsid w:val="001513CA"/>
    <w:rsid w:val="00154A06"/>
    <w:rsid w:val="001572EF"/>
    <w:rsid w:val="00160F0D"/>
    <w:rsid w:val="00161FC1"/>
    <w:rsid w:val="00164CE5"/>
    <w:rsid w:val="00171C90"/>
    <w:rsid w:val="00172FF2"/>
    <w:rsid w:val="00173C87"/>
    <w:rsid w:val="00175E28"/>
    <w:rsid w:val="00185E34"/>
    <w:rsid w:val="00190756"/>
    <w:rsid w:val="00194FE3"/>
    <w:rsid w:val="00195ED4"/>
    <w:rsid w:val="001A13C2"/>
    <w:rsid w:val="001A1417"/>
    <w:rsid w:val="001A1988"/>
    <w:rsid w:val="001A29E9"/>
    <w:rsid w:val="001A3682"/>
    <w:rsid w:val="001A4319"/>
    <w:rsid w:val="001A4AFC"/>
    <w:rsid w:val="001B034F"/>
    <w:rsid w:val="001B0A42"/>
    <w:rsid w:val="001B13BD"/>
    <w:rsid w:val="001B14F7"/>
    <w:rsid w:val="001B2205"/>
    <w:rsid w:val="001B2206"/>
    <w:rsid w:val="001B67DD"/>
    <w:rsid w:val="001B718C"/>
    <w:rsid w:val="001B7411"/>
    <w:rsid w:val="001B74BA"/>
    <w:rsid w:val="001C1887"/>
    <w:rsid w:val="001C2106"/>
    <w:rsid w:val="001C3B5D"/>
    <w:rsid w:val="001C3EB9"/>
    <w:rsid w:val="001D2FB8"/>
    <w:rsid w:val="001D3767"/>
    <w:rsid w:val="001E15D9"/>
    <w:rsid w:val="001E1715"/>
    <w:rsid w:val="001E2B60"/>
    <w:rsid w:val="001E30BD"/>
    <w:rsid w:val="001E3B16"/>
    <w:rsid w:val="001E3F53"/>
    <w:rsid w:val="001E731D"/>
    <w:rsid w:val="001F00EB"/>
    <w:rsid w:val="001F2080"/>
    <w:rsid w:val="001F237A"/>
    <w:rsid w:val="001F3E4C"/>
    <w:rsid w:val="001F40BE"/>
    <w:rsid w:val="002035E0"/>
    <w:rsid w:val="00203884"/>
    <w:rsid w:val="002041FF"/>
    <w:rsid w:val="00204A1C"/>
    <w:rsid w:val="00204EDA"/>
    <w:rsid w:val="00206977"/>
    <w:rsid w:val="00206E73"/>
    <w:rsid w:val="00210D54"/>
    <w:rsid w:val="00213E38"/>
    <w:rsid w:val="00216496"/>
    <w:rsid w:val="00216C6A"/>
    <w:rsid w:val="00217056"/>
    <w:rsid w:val="00217D5D"/>
    <w:rsid w:val="00220996"/>
    <w:rsid w:val="00225028"/>
    <w:rsid w:val="00230C38"/>
    <w:rsid w:val="0023210C"/>
    <w:rsid w:val="00232C2F"/>
    <w:rsid w:val="00233D8F"/>
    <w:rsid w:val="0023409E"/>
    <w:rsid w:val="00235777"/>
    <w:rsid w:val="0023600B"/>
    <w:rsid w:val="00236297"/>
    <w:rsid w:val="00236D28"/>
    <w:rsid w:val="00240F78"/>
    <w:rsid w:val="0024480B"/>
    <w:rsid w:val="002478BD"/>
    <w:rsid w:val="00251D54"/>
    <w:rsid w:val="00251D82"/>
    <w:rsid w:val="00254077"/>
    <w:rsid w:val="002575C8"/>
    <w:rsid w:val="002607C4"/>
    <w:rsid w:val="00261114"/>
    <w:rsid w:val="002612D2"/>
    <w:rsid w:val="002628F0"/>
    <w:rsid w:val="0026352B"/>
    <w:rsid w:val="00264655"/>
    <w:rsid w:val="00265489"/>
    <w:rsid w:val="00265E3F"/>
    <w:rsid w:val="00266FBB"/>
    <w:rsid w:val="00267C24"/>
    <w:rsid w:val="0027504F"/>
    <w:rsid w:val="00280156"/>
    <w:rsid w:val="00283CC2"/>
    <w:rsid w:val="002849CC"/>
    <w:rsid w:val="002871E0"/>
    <w:rsid w:val="00294A5C"/>
    <w:rsid w:val="00295597"/>
    <w:rsid w:val="002966EC"/>
    <w:rsid w:val="002A0FCD"/>
    <w:rsid w:val="002A2D0A"/>
    <w:rsid w:val="002A5A80"/>
    <w:rsid w:val="002B0DAF"/>
    <w:rsid w:val="002B2B0F"/>
    <w:rsid w:val="002B2F57"/>
    <w:rsid w:val="002B552B"/>
    <w:rsid w:val="002C179E"/>
    <w:rsid w:val="002C5396"/>
    <w:rsid w:val="002C6CA5"/>
    <w:rsid w:val="002C6EA9"/>
    <w:rsid w:val="002D0B6E"/>
    <w:rsid w:val="002D3AB2"/>
    <w:rsid w:val="002D5AD7"/>
    <w:rsid w:val="002E0C6E"/>
    <w:rsid w:val="002E16B0"/>
    <w:rsid w:val="002E1728"/>
    <w:rsid w:val="002E1F06"/>
    <w:rsid w:val="002E5FAD"/>
    <w:rsid w:val="002F2405"/>
    <w:rsid w:val="002F38CE"/>
    <w:rsid w:val="002F6308"/>
    <w:rsid w:val="002F6C75"/>
    <w:rsid w:val="00300048"/>
    <w:rsid w:val="003009D7"/>
    <w:rsid w:val="003049FD"/>
    <w:rsid w:val="00304D37"/>
    <w:rsid w:val="00307610"/>
    <w:rsid w:val="003116B2"/>
    <w:rsid w:val="00311815"/>
    <w:rsid w:val="00313B30"/>
    <w:rsid w:val="003169BC"/>
    <w:rsid w:val="00317FBD"/>
    <w:rsid w:val="00320CA4"/>
    <w:rsid w:val="00322998"/>
    <w:rsid w:val="00324738"/>
    <w:rsid w:val="00324BB5"/>
    <w:rsid w:val="00325EE6"/>
    <w:rsid w:val="00331DC2"/>
    <w:rsid w:val="00334366"/>
    <w:rsid w:val="003414C7"/>
    <w:rsid w:val="00341B69"/>
    <w:rsid w:val="00345E3C"/>
    <w:rsid w:val="0034643F"/>
    <w:rsid w:val="003561CA"/>
    <w:rsid w:val="00357EB9"/>
    <w:rsid w:val="0036083D"/>
    <w:rsid w:val="003623B5"/>
    <w:rsid w:val="00365199"/>
    <w:rsid w:val="003670E3"/>
    <w:rsid w:val="003710E2"/>
    <w:rsid w:val="00373219"/>
    <w:rsid w:val="00375120"/>
    <w:rsid w:val="003752E9"/>
    <w:rsid w:val="00377A9F"/>
    <w:rsid w:val="00382BB5"/>
    <w:rsid w:val="0038315C"/>
    <w:rsid w:val="00383192"/>
    <w:rsid w:val="003855B0"/>
    <w:rsid w:val="00385985"/>
    <w:rsid w:val="00391B18"/>
    <w:rsid w:val="003A1098"/>
    <w:rsid w:val="003A228A"/>
    <w:rsid w:val="003A350D"/>
    <w:rsid w:val="003A5E00"/>
    <w:rsid w:val="003A6F8E"/>
    <w:rsid w:val="003A7F8C"/>
    <w:rsid w:val="003B2B59"/>
    <w:rsid w:val="003B2D42"/>
    <w:rsid w:val="003B3A64"/>
    <w:rsid w:val="003B4051"/>
    <w:rsid w:val="003B6655"/>
    <w:rsid w:val="003B69E9"/>
    <w:rsid w:val="003B6F23"/>
    <w:rsid w:val="003B70A1"/>
    <w:rsid w:val="003B7B5B"/>
    <w:rsid w:val="003C3B93"/>
    <w:rsid w:val="003C3F67"/>
    <w:rsid w:val="003D0B41"/>
    <w:rsid w:val="003D1DB9"/>
    <w:rsid w:val="003D2E1A"/>
    <w:rsid w:val="003D41A9"/>
    <w:rsid w:val="003D4EC4"/>
    <w:rsid w:val="003D59CC"/>
    <w:rsid w:val="003D7719"/>
    <w:rsid w:val="003D79A6"/>
    <w:rsid w:val="003E2E8B"/>
    <w:rsid w:val="003E7130"/>
    <w:rsid w:val="003E7AB4"/>
    <w:rsid w:val="003F2BF0"/>
    <w:rsid w:val="003F441F"/>
    <w:rsid w:val="003F5B71"/>
    <w:rsid w:val="00401CFC"/>
    <w:rsid w:val="00403569"/>
    <w:rsid w:val="00403F33"/>
    <w:rsid w:val="00410CFA"/>
    <w:rsid w:val="00413491"/>
    <w:rsid w:val="0041708D"/>
    <w:rsid w:val="00421E1E"/>
    <w:rsid w:val="00422DFF"/>
    <w:rsid w:val="00425033"/>
    <w:rsid w:val="0043076A"/>
    <w:rsid w:val="0043140B"/>
    <w:rsid w:val="0043468D"/>
    <w:rsid w:val="00435640"/>
    <w:rsid w:val="00436B09"/>
    <w:rsid w:val="00444EF9"/>
    <w:rsid w:val="00446D86"/>
    <w:rsid w:val="00447B7E"/>
    <w:rsid w:val="00451D68"/>
    <w:rsid w:val="00452E28"/>
    <w:rsid w:val="00453CDD"/>
    <w:rsid w:val="00455BBA"/>
    <w:rsid w:val="00462D1D"/>
    <w:rsid w:val="004631E4"/>
    <w:rsid w:val="00466662"/>
    <w:rsid w:val="00467510"/>
    <w:rsid w:val="00470528"/>
    <w:rsid w:val="00471276"/>
    <w:rsid w:val="00472FF1"/>
    <w:rsid w:val="00473119"/>
    <w:rsid w:val="004753DB"/>
    <w:rsid w:val="004754C0"/>
    <w:rsid w:val="0047584C"/>
    <w:rsid w:val="004845B3"/>
    <w:rsid w:val="00486A5F"/>
    <w:rsid w:val="00490012"/>
    <w:rsid w:val="004927A8"/>
    <w:rsid w:val="004934B5"/>
    <w:rsid w:val="004945F8"/>
    <w:rsid w:val="004967DF"/>
    <w:rsid w:val="004B340A"/>
    <w:rsid w:val="004B5C35"/>
    <w:rsid w:val="004C02F0"/>
    <w:rsid w:val="004C20A3"/>
    <w:rsid w:val="004C2770"/>
    <w:rsid w:val="004C2AEE"/>
    <w:rsid w:val="004C2EB8"/>
    <w:rsid w:val="004C59EC"/>
    <w:rsid w:val="004C7C0F"/>
    <w:rsid w:val="004D01BA"/>
    <w:rsid w:val="004D41BC"/>
    <w:rsid w:val="004D451B"/>
    <w:rsid w:val="004D5B95"/>
    <w:rsid w:val="004D710D"/>
    <w:rsid w:val="004D7CB7"/>
    <w:rsid w:val="004E0162"/>
    <w:rsid w:val="004E3113"/>
    <w:rsid w:val="004E3E0B"/>
    <w:rsid w:val="004E4AAE"/>
    <w:rsid w:val="004E6184"/>
    <w:rsid w:val="004E6C99"/>
    <w:rsid w:val="004E71B1"/>
    <w:rsid w:val="004F4477"/>
    <w:rsid w:val="004F4D74"/>
    <w:rsid w:val="004F5C81"/>
    <w:rsid w:val="0050242C"/>
    <w:rsid w:val="005042AD"/>
    <w:rsid w:val="00504570"/>
    <w:rsid w:val="00505E0C"/>
    <w:rsid w:val="00510861"/>
    <w:rsid w:val="00512144"/>
    <w:rsid w:val="00512DD6"/>
    <w:rsid w:val="005177C3"/>
    <w:rsid w:val="00524CCB"/>
    <w:rsid w:val="005341DE"/>
    <w:rsid w:val="00542E96"/>
    <w:rsid w:val="00553FFC"/>
    <w:rsid w:val="0055414B"/>
    <w:rsid w:val="00554B81"/>
    <w:rsid w:val="00556437"/>
    <w:rsid w:val="00557DAF"/>
    <w:rsid w:val="00561399"/>
    <w:rsid w:val="00561C7E"/>
    <w:rsid w:val="00564EEF"/>
    <w:rsid w:val="00565459"/>
    <w:rsid w:val="00565CA8"/>
    <w:rsid w:val="00567387"/>
    <w:rsid w:val="00567689"/>
    <w:rsid w:val="0057397A"/>
    <w:rsid w:val="00574BF2"/>
    <w:rsid w:val="00576541"/>
    <w:rsid w:val="00577A51"/>
    <w:rsid w:val="00580B1F"/>
    <w:rsid w:val="00580DAF"/>
    <w:rsid w:val="005830A2"/>
    <w:rsid w:val="00583F2D"/>
    <w:rsid w:val="005867B4"/>
    <w:rsid w:val="00586BA4"/>
    <w:rsid w:val="00587403"/>
    <w:rsid w:val="00587789"/>
    <w:rsid w:val="00591B7B"/>
    <w:rsid w:val="00591E16"/>
    <w:rsid w:val="005924C0"/>
    <w:rsid w:val="00595590"/>
    <w:rsid w:val="005A3697"/>
    <w:rsid w:val="005A3AEC"/>
    <w:rsid w:val="005A41CA"/>
    <w:rsid w:val="005A603F"/>
    <w:rsid w:val="005A6931"/>
    <w:rsid w:val="005B0356"/>
    <w:rsid w:val="005B0479"/>
    <w:rsid w:val="005B111E"/>
    <w:rsid w:val="005B4127"/>
    <w:rsid w:val="005B4455"/>
    <w:rsid w:val="005B74BA"/>
    <w:rsid w:val="005B7D80"/>
    <w:rsid w:val="005C1E5A"/>
    <w:rsid w:val="005C30FB"/>
    <w:rsid w:val="005C580E"/>
    <w:rsid w:val="005C59EA"/>
    <w:rsid w:val="005C5BA1"/>
    <w:rsid w:val="005C6047"/>
    <w:rsid w:val="005D569E"/>
    <w:rsid w:val="005E1ED2"/>
    <w:rsid w:val="005E3ACF"/>
    <w:rsid w:val="005E4DBE"/>
    <w:rsid w:val="005E752A"/>
    <w:rsid w:val="005E7BC2"/>
    <w:rsid w:val="005F26F4"/>
    <w:rsid w:val="005F4977"/>
    <w:rsid w:val="005F49F0"/>
    <w:rsid w:val="005F5609"/>
    <w:rsid w:val="005F6342"/>
    <w:rsid w:val="005F6E24"/>
    <w:rsid w:val="00604227"/>
    <w:rsid w:val="006047A5"/>
    <w:rsid w:val="00605089"/>
    <w:rsid w:val="00607298"/>
    <w:rsid w:val="00610DC2"/>
    <w:rsid w:val="00612877"/>
    <w:rsid w:val="00614E58"/>
    <w:rsid w:val="00621111"/>
    <w:rsid w:val="00622267"/>
    <w:rsid w:val="0062336A"/>
    <w:rsid w:val="00624B10"/>
    <w:rsid w:val="00624B19"/>
    <w:rsid w:val="00626310"/>
    <w:rsid w:val="0062695E"/>
    <w:rsid w:val="00626CDF"/>
    <w:rsid w:val="006278C9"/>
    <w:rsid w:val="006305CF"/>
    <w:rsid w:val="00632406"/>
    <w:rsid w:val="0063301B"/>
    <w:rsid w:val="00633B9D"/>
    <w:rsid w:val="00636583"/>
    <w:rsid w:val="0063764E"/>
    <w:rsid w:val="00642AA6"/>
    <w:rsid w:val="006450B4"/>
    <w:rsid w:val="006453DE"/>
    <w:rsid w:val="006454A4"/>
    <w:rsid w:val="00645C0C"/>
    <w:rsid w:val="00645E9F"/>
    <w:rsid w:val="0065255E"/>
    <w:rsid w:val="00652F6B"/>
    <w:rsid w:val="0065370E"/>
    <w:rsid w:val="00655706"/>
    <w:rsid w:val="00656F7E"/>
    <w:rsid w:val="006571C4"/>
    <w:rsid w:val="00661916"/>
    <w:rsid w:val="00662696"/>
    <w:rsid w:val="00664A65"/>
    <w:rsid w:val="00666163"/>
    <w:rsid w:val="00667B8F"/>
    <w:rsid w:val="00673B59"/>
    <w:rsid w:val="00682A34"/>
    <w:rsid w:val="00682ED6"/>
    <w:rsid w:val="00683EE3"/>
    <w:rsid w:val="00686A45"/>
    <w:rsid w:val="00691734"/>
    <w:rsid w:val="0069371A"/>
    <w:rsid w:val="00695085"/>
    <w:rsid w:val="00696728"/>
    <w:rsid w:val="006968A0"/>
    <w:rsid w:val="00697013"/>
    <w:rsid w:val="006A0944"/>
    <w:rsid w:val="006A25CB"/>
    <w:rsid w:val="006A37EE"/>
    <w:rsid w:val="006A537F"/>
    <w:rsid w:val="006A75EA"/>
    <w:rsid w:val="006B121F"/>
    <w:rsid w:val="006B1A85"/>
    <w:rsid w:val="006C0D25"/>
    <w:rsid w:val="006C1BF4"/>
    <w:rsid w:val="006C2C42"/>
    <w:rsid w:val="006C3B24"/>
    <w:rsid w:val="006C3C26"/>
    <w:rsid w:val="006C3EE1"/>
    <w:rsid w:val="006D012F"/>
    <w:rsid w:val="006D1EE7"/>
    <w:rsid w:val="006D2A94"/>
    <w:rsid w:val="006D2DD5"/>
    <w:rsid w:val="006D4240"/>
    <w:rsid w:val="006D4634"/>
    <w:rsid w:val="006D6893"/>
    <w:rsid w:val="006D6968"/>
    <w:rsid w:val="006D6A27"/>
    <w:rsid w:val="006D74D6"/>
    <w:rsid w:val="006E1D79"/>
    <w:rsid w:val="006E4F7B"/>
    <w:rsid w:val="006E73EF"/>
    <w:rsid w:val="006F27CF"/>
    <w:rsid w:val="006F296C"/>
    <w:rsid w:val="006F70C2"/>
    <w:rsid w:val="0070282F"/>
    <w:rsid w:val="00705633"/>
    <w:rsid w:val="00705D28"/>
    <w:rsid w:val="00706714"/>
    <w:rsid w:val="00707BFB"/>
    <w:rsid w:val="00710230"/>
    <w:rsid w:val="00710241"/>
    <w:rsid w:val="00710352"/>
    <w:rsid w:val="0071249E"/>
    <w:rsid w:val="00713BC4"/>
    <w:rsid w:val="00714D91"/>
    <w:rsid w:val="00727234"/>
    <w:rsid w:val="00730065"/>
    <w:rsid w:val="007334F9"/>
    <w:rsid w:val="007355CF"/>
    <w:rsid w:val="007367D0"/>
    <w:rsid w:val="007375D0"/>
    <w:rsid w:val="0074059D"/>
    <w:rsid w:val="0074219F"/>
    <w:rsid w:val="00742975"/>
    <w:rsid w:val="0074458F"/>
    <w:rsid w:val="0074562E"/>
    <w:rsid w:val="00747F8F"/>
    <w:rsid w:val="007515B1"/>
    <w:rsid w:val="00751610"/>
    <w:rsid w:val="007530C3"/>
    <w:rsid w:val="0075661D"/>
    <w:rsid w:val="007614B3"/>
    <w:rsid w:val="00763FE9"/>
    <w:rsid w:val="007716C8"/>
    <w:rsid w:val="007736B4"/>
    <w:rsid w:val="0077427F"/>
    <w:rsid w:val="00775CC4"/>
    <w:rsid w:val="00777690"/>
    <w:rsid w:val="00781291"/>
    <w:rsid w:val="0078249B"/>
    <w:rsid w:val="00783590"/>
    <w:rsid w:val="00783DEF"/>
    <w:rsid w:val="00784A3D"/>
    <w:rsid w:val="00785420"/>
    <w:rsid w:val="00785F1F"/>
    <w:rsid w:val="007872F4"/>
    <w:rsid w:val="007875B5"/>
    <w:rsid w:val="00790250"/>
    <w:rsid w:val="00790F18"/>
    <w:rsid w:val="007923D9"/>
    <w:rsid w:val="00793244"/>
    <w:rsid w:val="007A0945"/>
    <w:rsid w:val="007A158B"/>
    <w:rsid w:val="007A3189"/>
    <w:rsid w:val="007A39C7"/>
    <w:rsid w:val="007A5009"/>
    <w:rsid w:val="007B2592"/>
    <w:rsid w:val="007B7DE1"/>
    <w:rsid w:val="007C12A8"/>
    <w:rsid w:val="007C3F91"/>
    <w:rsid w:val="007C444B"/>
    <w:rsid w:val="007C48E2"/>
    <w:rsid w:val="007C4B1B"/>
    <w:rsid w:val="007C5C27"/>
    <w:rsid w:val="007D0A5B"/>
    <w:rsid w:val="007E059A"/>
    <w:rsid w:val="007E3A89"/>
    <w:rsid w:val="007E4484"/>
    <w:rsid w:val="007E4E2A"/>
    <w:rsid w:val="007E657C"/>
    <w:rsid w:val="007F31EC"/>
    <w:rsid w:val="007F4628"/>
    <w:rsid w:val="00800716"/>
    <w:rsid w:val="00802936"/>
    <w:rsid w:val="00804C73"/>
    <w:rsid w:val="00807141"/>
    <w:rsid w:val="008075F5"/>
    <w:rsid w:val="00807FEB"/>
    <w:rsid w:val="0081750B"/>
    <w:rsid w:val="00817FC9"/>
    <w:rsid w:val="008201C0"/>
    <w:rsid w:val="00820CBD"/>
    <w:rsid w:val="00821FB4"/>
    <w:rsid w:val="00823387"/>
    <w:rsid w:val="00826FC5"/>
    <w:rsid w:val="00833B9A"/>
    <w:rsid w:val="00840694"/>
    <w:rsid w:val="00843E6B"/>
    <w:rsid w:val="0084641B"/>
    <w:rsid w:val="008470E6"/>
    <w:rsid w:val="008503CE"/>
    <w:rsid w:val="00855114"/>
    <w:rsid w:val="0086069F"/>
    <w:rsid w:val="008613E4"/>
    <w:rsid w:val="008618A8"/>
    <w:rsid w:val="00862516"/>
    <w:rsid w:val="00863092"/>
    <w:rsid w:val="00863401"/>
    <w:rsid w:val="0086592E"/>
    <w:rsid w:val="00866D3D"/>
    <w:rsid w:val="008803F9"/>
    <w:rsid w:val="00880EBD"/>
    <w:rsid w:val="008878BC"/>
    <w:rsid w:val="00895904"/>
    <w:rsid w:val="008968B4"/>
    <w:rsid w:val="008972F0"/>
    <w:rsid w:val="00897441"/>
    <w:rsid w:val="008A3DF6"/>
    <w:rsid w:val="008A4A18"/>
    <w:rsid w:val="008A512E"/>
    <w:rsid w:val="008B165C"/>
    <w:rsid w:val="008B1B92"/>
    <w:rsid w:val="008B313C"/>
    <w:rsid w:val="008B48BC"/>
    <w:rsid w:val="008B7391"/>
    <w:rsid w:val="008C17D0"/>
    <w:rsid w:val="008C494B"/>
    <w:rsid w:val="008C7F1E"/>
    <w:rsid w:val="008D004E"/>
    <w:rsid w:val="008D24F1"/>
    <w:rsid w:val="008D63C5"/>
    <w:rsid w:val="008D6956"/>
    <w:rsid w:val="008E2C45"/>
    <w:rsid w:val="008E3B63"/>
    <w:rsid w:val="008E460C"/>
    <w:rsid w:val="008E5CF7"/>
    <w:rsid w:val="008E6E34"/>
    <w:rsid w:val="008E7867"/>
    <w:rsid w:val="008F16EF"/>
    <w:rsid w:val="008F1AE1"/>
    <w:rsid w:val="008F2AC9"/>
    <w:rsid w:val="008F4901"/>
    <w:rsid w:val="008F5D3A"/>
    <w:rsid w:val="008F5FF6"/>
    <w:rsid w:val="008F781F"/>
    <w:rsid w:val="009001D0"/>
    <w:rsid w:val="00904696"/>
    <w:rsid w:val="009113D9"/>
    <w:rsid w:val="009155FC"/>
    <w:rsid w:val="0091676A"/>
    <w:rsid w:val="009173AE"/>
    <w:rsid w:val="009204AB"/>
    <w:rsid w:val="00922A62"/>
    <w:rsid w:val="009230FA"/>
    <w:rsid w:val="00927F1E"/>
    <w:rsid w:val="00931565"/>
    <w:rsid w:val="0093235A"/>
    <w:rsid w:val="00933AAE"/>
    <w:rsid w:val="00935207"/>
    <w:rsid w:val="009356A8"/>
    <w:rsid w:val="00942E0B"/>
    <w:rsid w:val="009451E5"/>
    <w:rsid w:val="0095170E"/>
    <w:rsid w:val="0095285E"/>
    <w:rsid w:val="00952A75"/>
    <w:rsid w:val="009533FC"/>
    <w:rsid w:val="00955734"/>
    <w:rsid w:val="0095666C"/>
    <w:rsid w:val="00957071"/>
    <w:rsid w:val="00960E79"/>
    <w:rsid w:val="0096126B"/>
    <w:rsid w:val="009635F1"/>
    <w:rsid w:val="009653A6"/>
    <w:rsid w:val="009660C5"/>
    <w:rsid w:val="009670C3"/>
    <w:rsid w:val="00967504"/>
    <w:rsid w:val="00970BF4"/>
    <w:rsid w:val="00972685"/>
    <w:rsid w:val="00973277"/>
    <w:rsid w:val="009739EE"/>
    <w:rsid w:val="0097772D"/>
    <w:rsid w:val="009848AF"/>
    <w:rsid w:val="00985BFD"/>
    <w:rsid w:val="00986191"/>
    <w:rsid w:val="00987F57"/>
    <w:rsid w:val="00992652"/>
    <w:rsid w:val="00992DF4"/>
    <w:rsid w:val="009950FA"/>
    <w:rsid w:val="00995A71"/>
    <w:rsid w:val="00997059"/>
    <w:rsid w:val="009A65FE"/>
    <w:rsid w:val="009A683B"/>
    <w:rsid w:val="009B6995"/>
    <w:rsid w:val="009B7AB6"/>
    <w:rsid w:val="009C10F6"/>
    <w:rsid w:val="009C2A8E"/>
    <w:rsid w:val="009C459E"/>
    <w:rsid w:val="009C463F"/>
    <w:rsid w:val="009D305E"/>
    <w:rsid w:val="009E1D53"/>
    <w:rsid w:val="009E25DD"/>
    <w:rsid w:val="009E3BA1"/>
    <w:rsid w:val="009E4077"/>
    <w:rsid w:val="009E6F86"/>
    <w:rsid w:val="009F08D2"/>
    <w:rsid w:val="009F0C22"/>
    <w:rsid w:val="009F0F87"/>
    <w:rsid w:val="009F3D9E"/>
    <w:rsid w:val="00A001BB"/>
    <w:rsid w:val="00A017ED"/>
    <w:rsid w:val="00A02888"/>
    <w:rsid w:val="00A02D7B"/>
    <w:rsid w:val="00A0354B"/>
    <w:rsid w:val="00A139C0"/>
    <w:rsid w:val="00A14E47"/>
    <w:rsid w:val="00A14FE7"/>
    <w:rsid w:val="00A21E18"/>
    <w:rsid w:val="00A22560"/>
    <w:rsid w:val="00A236DA"/>
    <w:rsid w:val="00A23990"/>
    <w:rsid w:val="00A3036A"/>
    <w:rsid w:val="00A30ECD"/>
    <w:rsid w:val="00A31166"/>
    <w:rsid w:val="00A32D94"/>
    <w:rsid w:val="00A411D4"/>
    <w:rsid w:val="00A41E02"/>
    <w:rsid w:val="00A43AF3"/>
    <w:rsid w:val="00A53AF7"/>
    <w:rsid w:val="00A55872"/>
    <w:rsid w:val="00A568E2"/>
    <w:rsid w:val="00A572B0"/>
    <w:rsid w:val="00A6230F"/>
    <w:rsid w:val="00A642D4"/>
    <w:rsid w:val="00A66A2B"/>
    <w:rsid w:val="00A67B5B"/>
    <w:rsid w:val="00A72512"/>
    <w:rsid w:val="00A72FE5"/>
    <w:rsid w:val="00A73849"/>
    <w:rsid w:val="00A744F9"/>
    <w:rsid w:val="00A77052"/>
    <w:rsid w:val="00A8626A"/>
    <w:rsid w:val="00A90156"/>
    <w:rsid w:val="00AA0818"/>
    <w:rsid w:val="00AA08CA"/>
    <w:rsid w:val="00AA405A"/>
    <w:rsid w:val="00AA4635"/>
    <w:rsid w:val="00AB4655"/>
    <w:rsid w:val="00AB47DE"/>
    <w:rsid w:val="00AB5DCB"/>
    <w:rsid w:val="00AC13AA"/>
    <w:rsid w:val="00AC2420"/>
    <w:rsid w:val="00AD125B"/>
    <w:rsid w:val="00AD17C0"/>
    <w:rsid w:val="00AD31CA"/>
    <w:rsid w:val="00AD45F4"/>
    <w:rsid w:val="00AD5560"/>
    <w:rsid w:val="00AD5C18"/>
    <w:rsid w:val="00AD7745"/>
    <w:rsid w:val="00AE09C8"/>
    <w:rsid w:val="00AE20EF"/>
    <w:rsid w:val="00AE2A38"/>
    <w:rsid w:val="00AE2CF9"/>
    <w:rsid w:val="00AE6B3F"/>
    <w:rsid w:val="00AE7CEE"/>
    <w:rsid w:val="00AF165E"/>
    <w:rsid w:val="00AF1DDD"/>
    <w:rsid w:val="00AF3036"/>
    <w:rsid w:val="00B01175"/>
    <w:rsid w:val="00B04999"/>
    <w:rsid w:val="00B05F11"/>
    <w:rsid w:val="00B119B6"/>
    <w:rsid w:val="00B121F5"/>
    <w:rsid w:val="00B1225D"/>
    <w:rsid w:val="00B128B5"/>
    <w:rsid w:val="00B13CF5"/>
    <w:rsid w:val="00B14A4B"/>
    <w:rsid w:val="00B157C4"/>
    <w:rsid w:val="00B171DD"/>
    <w:rsid w:val="00B176D8"/>
    <w:rsid w:val="00B259F2"/>
    <w:rsid w:val="00B25FB5"/>
    <w:rsid w:val="00B26828"/>
    <w:rsid w:val="00B2774A"/>
    <w:rsid w:val="00B315FF"/>
    <w:rsid w:val="00B33EF1"/>
    <w:rsid w:val="00B33F5A"/>
    <w:rsid w:val="00B341C7"/>
    <w:rsid w:val="00B3565B"/>
    <w:rsid w:val="00B450A4"/>
    <w:rsid w:val="00B4512D"/>
    <w:rsid w:val="00B52C61"/>
    <w:rsid w:val="00B5337C"/>
    <w:rsid w:val="00B557AE"/>
    <w:rsid w:val="00B5746C"/>
    <w:rsid w:val="00B612D3"/>
    <w:rsid w:val="00B62639"/>
    <w:rsid w:val="00B63365"/>
    <w:rsid w:val="00B6477C"/>
    <w:rsid w:val="00B6557A"/>
    <w:rsid w:val="00B716B1"/>
    <w:rsid w:val="00B73EDF"/>
    <w:rsid w:val="00B77957"/>
    <w:rsid w:val="00B805B8"/>
    <w:rsid w:val="00B83A9F"/>
    <w:rsid w:val="00B8532D"/>
    <w:rsid w:val="00B861C6"/>
    <w:rsid w:val="00B86D14"/>
    <w:rsid w:val="00B87E8F"/>
    <w:rsid w:val="00B91801"/>
    <w:rsid w:val="00B93160"/>
    <w:rsid w:val="00B94567"/>
    <w:rsid w:val="00B9522C"/>
    <w:rsid w:val="00B96711"/>
    <w:rsid w:val="00B96F0F"/>
    <w:rsid w:val="00B970F3"/>
    <w:rsid w:val="00BA45BC"/>
    <w:rsid w:val="00BA66C9"/>
    <w:rsid w:val="00BA7AB5"/>
    <w:rsid w:val="00BB2A8C"/>
    <w:rsid w:val="00BB40FE"/>
    <w:rsid w:val="00BB4EF6"/>
    <w:rsid w:val="00BC6552"/>
    <w:rsid w:val="00BE0387"/>
    <w:rsid w:val="00BE0BCD"/>
    <w:rsid w:val="00BE4382"/>
    <w:rsid w:val="00BF484D"/>
    <w:rsid w:val="00BF5055"/>
    <w:rsid w:val="00BF51F3"/>
    <w:rsid w:val="00BF598F"/>
    <w:rsid w:val="00BF6A3A"/>
    <w:rsid w:val="00C0062A"/>
    <w:rsid w:val="00C027F7"/>
    <w:rsid w:val="00C032E9"/>
    <w:rsid w:val="00C03C53"/>
    <w:rsid w:val="00C071EB"/>
    <w:rsid w:val="00C102C4"/>
    <w:rsid w:val="00C1056A"/>
    <w:rsid w:val="00C10A56"/>
    <w:rsid w:val="00C14ADB"/>
    <w:rsid w:val="00C153FE"/>
    <w:rsid w:val="00C17190"/>
    <w:rsid w:val="00C173F8"/>
    <w:rsid w:val="00C17659"/>
    <w:rsid w:val="00C24502"/>
    <w:rsid w:val="00C3090B"/>
    <w:rsid w:val="00C3121F"/>
    <w:rsid w:val="00C32559"/>
    <w:rsid w:val="00C37A50"/>
    <w:rsid w:val="00C424E7"/>
    <w:rsid w:val="00C42D39"/>
    <w:rsid w:val="00C43BAE"/>
    <w:rsid w:val="00C43FD4"/>
    <w:rsid w:val="00C4471F"/>
    <w:rsid w:val="00C5015C"/>
    <w:rsid w:val="00C524ED"/>
    <w:rsid w:val="00C535BC"/>
    <w:rsid w:val="00C551FE"/>
    <w:rsid w:val="00C56E1F"/>
    <w:rsid w:val="00C74B70"/>
    <w:rsid w:val="00C756A8"/>
    <w:rsid w:val="00C83B23"/>
    <w:rsid w:val="00C859EC"/>
    <w:rsid w:val="00C86882"/>
    <w:rsid w:val="00C86A19"/>
    <w:rsid w:val="00C90465"/>
    <w:rsid w:val="00C93324"/>
    <w:rsid w:val="00C97C59"/>
    <w:rsid w:val="00C97E03"/>
    <w:rsid w:val="00C97FB6"/>
    <w:rsid w:val="00CA34AE"/>
    <w:rsid w:val="00CA5F10"/>
    <w:rsid w:val="00CA672B"/>
    <w:rsid w:val="00CB22E0"/>
    <w:rsid w:val="00CB5132"/>
    <w:rsid w:val="00CC26CF"/>
    <w:rsid w:val="00CC3190"/>
    <w:rsid w:val="00CC3A1B"/>
    <w:rsid w:val="00CC3F54"/>
    <w:rsid w:val="00CC4DBB"/>
    <w:rsid w:val="00CD2258"/>
    <w:rsid w:val="00CD24F2"/>
    <w:rsid w:val="00CD43BD"/>
    <w:rsid w:val="00CD58CC"/>
    <w:rsid w:val="00CD641F"/>
    <w:rsid w:val="00CD6726"/>
    <w:rsid w:val="00CE5814"/>
    <w:rsid w:val="00CF05EE"/>
    <w:rsid w:val="00CF0C42"/>
    <w:rsid w:val="00CF0DEC"/>
    <w:rsid w:val="00CF3CA4"/>
    <w:rsid w:val="00CF443C"/>
    <w:rsid w:val="00CF69E0"/>
    <w:rsid w:val="00D007D0"/>
    <w:rsid w:val="00D02A33"/>
    <w:rsid w:val="00D02BAF"/>
    <w:rsid w:val="00D035AE"/>
    <w:rsid w:val="00D03A0D"/>
    <w:rsid w:val="00D10BD4"/>
    <w:rsid w:val="00D11A5D"/>
    <w:rsid w:val="00D14C76"/>
    <w:rsid w:val="00D15CA1"/>
    <w:rsid w:val="00D15D81"/>
    <w:rsid w:val="00D21520"/>
    <w:rsid w:val="00D23498"/>
    <w:rsid w:val="00D25D0C"/>
    <w:rsid w:val="00D26030"/>
    <w:rsid w:val="00D31755"/>
    <w:rsid w:val="00D34C25"/>
    <w:rsid w:val="00D36E4C"/>
    <w:rsid w:val="00D40C08"/>
    <w:rsid w:val="00D41B10"/>
    <w:rsid w:val="00D42102"/>
    <w:rsid w:val="00D442C3"/>
    <w:rsid w:val="00D450C5"/>
    <w:rsid w:val="00D45532"/>
    <w:rsid w:val="00D460E7"/>
    <w:rsid w:val="00D526D6"/>
    <w:rsid w:val="00D53E74"/>
    <w:rsid w:val="00D543C0"/>
    <w:rsid w:val="00D55C8E"/>
    <w:rsid w:val="00D566D9"/>
    <w:rsid w:val="00D609EA"/>
    <w:rsid w:val="00D61205"/>
    <w:rsid w:val="00D6291B"/>
    <w:rsid w:val="00D65AC1"/>
    <w:rsid w:val="00D65D81"/>
    <w:rsid w:val="00D67E08"/>
    <w:rsid w:val="00D7312D"/>
    <w:rsid w:val="00D759E9"/>
    <w:rsid w:val="00D76A8D"/>
    <w:rsid w:val="00D771BA"/>
    <w:rsid w:val="00D81351"/>
    <w:rsid w:val="00D8290C"/>
    <w:rsid w:val="00D83C86"/>
    <w:rsid w:val="00D87C11"/>
    <w:rsid w:val="00D9058A"/>
    <w:rsid w:val="00D91740"/>
    <w:rsid w:val="00D957F3"/>
    <w:rsid w:val="00DA2893"/>
    <w:rsid w:val="00DA2AB0"/>
    <w:rsid w:val="00DA352B"/>
    <w:rsid w:val="00DA4F78"/>
    <w:rsid w:val="00DA53C5"/>
    <w:rsid w:val="00DA6DBC"/>
    <w:rsid w:val="00DB5F15"/>
    <w:rsid w:val="00DC1E4B"/>
    <w:rsid w:val="00DC236E"/>
    <w:rsid w:val="00DC2999"/>
    <w:rsid w:val="00DC4394"/>
    <w:rsid w:val="00DC7BD3"/>
    <w:rsid w:val="00DC7E6C"/>
    <w:rsid w:val="00DD046A"/>
    <w:rsid w:val="00DD1143"/>
    <w:rsid w:val="00DD1B96"/>
    <w:rsid w:val="00DD4399"/>
    <w:rsid w:val="00DE00E4"/>
    <w:rsid w:val="00DE1B7E"/>
    <w:rsid w:val="00DF264C"/>
    <w:rsid w:val="00DF361A"/>
    <w:rsid w:val="00DF4F9B"/>
    <w:rsid w:val="00DF687F"/>
    <w:rsid w:val="00E0735F"/>
    <w:rsid w:val="00E11BA9"/>
    <w:rsid w:val="00E12BC8"/>
    <w:rsid w:val="00E157F0"/>
    <w:rsid w:val="00E15BED"/>
    <w:rsid w:val="00E161EB"/>
    <w:rsid w:val="00E1678F"/>
    <w:rsid w:val="00E20A0F"/>
    <w:rsid w:val="00E2202D"/>
    <w:rsid w:val="00E22191"/>
    <w:rsid w:val="00E27C92"/>
    <w:rsid w:val="00E31045"/>
    <w:rsid w:val="00E33944"/>
    <w:rsid w:val="00E344C2"/>
    <w:rsid w:val="00E35B96"/>
    <w:rsid w:val="00E3628B"/>
    <w:rsid w:val="00E45A7D"/>
    <w:rsid w:val="00E4673C"/>
    <w:rsid w:val="00E473C7"/>
    <w:rsid w:val="00E508C4"/>
    <w:rsid w:val="00E50A5F"/>
    <w:rsid w:val="00E55832"/>
    <w:rsid w:val="00E56BE8"/>
    <w:rsid w:val="00E633AC"/>
    <w:rsid w:val="00E67F3D"/>
    <w:rsid w:val="00E70700"/>
    <w:rsid w:val="00E74CC5"/>
    <w:rsid w:val="00E74CDC"/>
    <w:rsid w:val="00E7568C"/>
    <w:rsid w:val="00E7620E"/>
    <w:rsid w:val="00E764E0"/>
    <w:rsid w:val="00E76623"/>
    <w:rsid w:val="00E8027D"/>
    <w:rsid w:val="00E8095B"/>
    <w:rsid w:val="00E8547F"/>
    <w:rsid w:val="00E857F9"/>
    <w:rsid w:val="00E863B0"/>
    <w:rsid w:val="00E90866"/>
    <w:rsid w:val="00EA1828"/>
    <w:rsid w:val="00EA1A2C"/>
    <w:rsid w:val="00EA3616"/>
    <w:rsid w:val="00EA7051"/>
    <w:rsid w:val="00EB06E2"/>
    <w:rsid w:val="00EB0B10"/>
    <w:rsid w:val="00EB25D4"/>
    <w:rsid w:val="00EB53B5"/>
    <w:rsid w:val="00EB62E0"/>
    <w:rsid w:val="00EC2795"/>
    <w:rsid w:val="00EC4FE5"/>
    <w:rsid w:val="00EC5215"/>
    <w:rsid w:val="00EC6EB6"/>
    <w:rsid w:val="00ED607E"/>
    <w:rsid w:val="00ED7400"/>
    <w:rsid w:val="00EE10FC"/>
    <w:rsid w:val="00EE4E4E"/>
    <w:rsid w:val="00EE5AD6"/>
    <w:rsid w:val="00EF2B20"/>
    <w:rsid w:val="00EF5BBA"/>
    <w:rsid w:val="00EF5FB8"/>
    <w:rsid w:val="00EF6202"/>
    <w:rsid w:val="00F02665"/>
    <w:rsid w:val="00F06A7F"/>
    <w:rsid w:val="00F11FE1"/>
    <w:rsid w:val="00F1499E"/>
    <w:rsid w:val="00F20BFA"/>
    <w:rsid w:val="00F21BF8"/>
    <w:rsid w:val="00F24288"/>
    <w:rsid w:val="00F26715"/>
    <w:rsid w:val="00F26A1B"/>
    <w:rsid w:val="00F31DD3"/>
    <w:rsid w:val="00F34600"/>
    <w:rsid w:val="00F34715"/>
    <w:rsid w:val="00F36D65"/>
    <w:rsid w:val="00F37E8B"/>
    <w:rsid w:val="00F40C02"/>
    <w:rsid w:val="00F41EA8"/>
    <w:rsid w:val="00F50701"/>
    <w:rsid w:val="00F50EC8"/>
    <w:rsid w:val="00F5171A"/>
    <w:rsid w:val="00F51B91"/>
    <w:rsid w:val="00F51E3E"/>
    <w:rsid w:val="00F52963"/>
    <w:rsid w:val="00F52DE0"/>
    <w:rsid w:val="00F56E7F"/>
    <w:rsid w:val="00F57ADA"/>
    <w:rsid w:val="00F57FC3"/>
    <w:rsid w:val="00F602A1"/>
    <w:rsid w:val="00F60D9E"/>
    <w:rsid w:val="00F61720"/>
    <w:rsid w:val="00F67516"/>
    <w:rsid w:val="00F70B4A"/>
    <w:rsid w:val="00F70CDB"/>
    <w:rsid w:val="00F80852"/>
    <w:rsid w:val="00F82C3E"/>
    <w:rsid w:val="00F84978"/>
    <w:rsid w:val="00F84B25"/>
    <w:rsid w:val="00F913D3"/>
    <w:rsid w:val="00F91BFE"/>
    <w:rsid w:val="00F92672"/>
    <w:rsid w:val="00F929B7"/>
    <w:rsid w:val="00F940D0"/>
    <w:rsid w:val="00F9552D"/>
    <w:rsid w:val="00F95B89"/>
    <w:rsid w:val="00F9647B"/>
    <w:rsid w:val="00FA3BA8"/>
    <w:rsid w:val="00FA68CC"/>
    <w:rsid w:val="00FB0052"/>
    <w:rsid w:val="00FB0176"/>
    <w:rsid w:val="00FB5062"/>
    <w:rsid w:val="00FB5539"/>
    <w:rsid w:val="00FB6DFE"/>
    <w:rsid w:val="00FC51E1"/>
    <w:rsid w:val="00FD0764"/>
    <w:rsid w:val="00FD1324"/>
    <w:rsid w:val="00FD3FFE"/>
    <w:rsid w:val="00FE14DC"/>
    <w:rsid w:val="00FE298F"/>
    <w:rsid w:val="00FE2CCD"/>
    <w:rsid w:val="00FF2AEA"/>
    <w:rsid w:val="00FF46C8"/>
    <w:rsid w:val="01247EFA"/>
    <w:rsid w:val="01C60288"/>
    <w:rsid w:val="01C95043"/>
    <w:rsid w:val="023D08FC"/>
    <w:rsid w:val="02491AD4"/>
    <w:rsid w:val="02745E4B"/>
    <w:rsid w:val="039B57B6"/>
    <w:rsid w:val="043C550E"/>
    <w:rsid w:val="04FF037E"/>
    <w:rsid w:val="05131707"/>
    <w:rsid w:val="062E54AB"/>
    <w:rsid w:val="09045F63"/>
    <w:rsid w:val="091F6D3E"/>
    <w:rsid w:val="095F188F"/>
    <w:rsid w:val="098D446B"/>
    <w:rsid w:val="09B3751B"/>
    <w:rsid w:val="0C9540D6"/>
    <w:rsid w:val="0D181FDD"/>
    <w:rsid w:val="0D5D464E"/>
    <w:rsid w:val="0FAA11F4"/>
    <w:rsid w:val="110436E4"/>
    <w:rsid w:val="12CD1ABC"/>
    <w:rsid w:val="133D5C9F"/>
    <w:rsid w:val="13A03946"/>
    <w:rsid w:val="149F5CD3"/>
    <w:rsid w:val="152139F9"/>
    <w:rsid w:val="15233C15"/>
    <w:rsid w:val="15FBC744"/>
    <w:rsid w:val="16482398"/>
    <w:rsid w:val="16D3418F"/>
    <w:rsid w:val="179F7789"/>
    <w:rsid w:val="1916792D"/>
    <w:rsid w:val="19630FC1"/>
    <w:rsid w:val="19F01BA2"/>
    <w:rsid w:val="1A5602FB"/>
    <w:rsid w:val="1CD154A6"/>
    <w:rsid w:val="1D56683C"/>
    <w:rsid w:val="1FF7FAAF"/>
    <w:rsid w:val="219B2EEF"/>
    <w:rsid w:val="22E76AE9"/>
    <w:rsid w:val="230203F3"/>
    <w:rsid w:val="248F48B3"/>
    <w:rsid w:val="25CD351C"/>
    <w:rsid w:val="25E26D21"/>
    <w:rsid w:val="26B00243"/>
    <w:rsid w:val="26BA0540"/>
    <w:rsid w:val="27982489"/>
    <w:rsid w:val="279B3ADF"/>
    <w:rsid w:val="2820363B"/>
    <w:rsid w:val="28963E7A"/>
    <w:rsid w:val="294D321E"/>
    <w:rsid w:val="2A481CFC"/>
    <w:rsid w:val="2A9B41C9"/>
    <w:rsid w:val="2B612949"/>
    <w:rsid w:val="2CFFD1E4"/>
    <w:rsid w:val="2FA40814"/>
    <w:rsid w:val="313F3661"/>
    <w:rsid w:val="31DE1A0B"/>
    <w:rsid w:val="32CA4983"/>
    <w:rsid w:val="33051089"/>
    <w:rsid w:val="33433BCA"/>
    <w:rsid w:val="34DD5FDC"/>
    <w:rsid w:val="355E28A6"/>
    <w:rsid w:val="35620B53"/>
    <w:rsid w:val="35FE78D3"/>
    <w:rsid w:val="39E410E3"/>
    <w:rsid w:val="3A4F363E"/>
    <w:rsid w:val="3A796948"/>
    <w:rsid w:val="3AA30CDC"/>
    <w:rsid w:val="3BAD4744"/>
    <w:rsid w:val="3BE53B4A"/>
    <w:rsid w:val="3BF27D19"/>
    <w:rsid w:val="3C5D36B4"/>
    <w:rsid w:val="3D7EA3C2"/>
    <w:rsid w:val="3DF12F16"/>
    <w:rsid w:val="401A7726"/>
    <w:rsid w:val="40275C32"/>
    <w:rsid w:val="40BF1F1B"/>
    <w:rsid w:val="41935063"/>
    <w:rsid w:val="42B30481"/>
    <w:rsid w:val="42C13FA2"/>
    <w:rsid w:val="435C188A"/>
    <w:rsid w:val="448E7699"/>
    <w:rsid w:val="44AB7000"/>
    <w:rsid w:val="44DA0163"/>
    <w:rsid w:val="454559C7"/>
    <w:rsid w:val="45667014"/>
    <w:rsid w:val="47855D2A"/>
    <w:rsid w:val="48E1714C"/>
    <w:rsid w:val="4A7055E0"/>
    <w:rsid w:val="4A970A63"/>
    <w:rsid w:val="4B7D6ED4"/>
    <w:rsid w:val="4B9A5501"/>
    <w:rsid w:val="4C3C08FD"/>
    <w:rsid w:val="4CC169F5"/>
    <w:rsid w:val="4D017674"/>
    <w:rsid w:val="4F691E1A"/>
    <w:rsid w:val="4FA53EF3"/>
    <w:rsid w:val="4FCE41A2"/>
    <w:rsid w:val="4FCF6EE9"/>
    <w:rsid w:val="52EB2C18"/>
    <w:rsid w:val="542155D3"/>
    <w:rsid w:val="546B750E"/>
    <w:rsid w:val="55BA06E0"/>
    <w:rsid w:val="566D46C4"/>
    <w:rsid w:val="57A7533D"/>
    <w:rsid w:val="57FB79B6"/>
    <w:rsid w:val="58362B93"/>
    <w:rsid w:val="58FD4977"/>
    <w:rsid w:val="594F09D0"/>
    <w:rsid w:val="5A6976FE"/>
    <w:rsid w:val="5BDC2D44"/>
    <w:rsid w:val="5D80732E"/>
    <w:rsid w:val="5DA14CA4"/>
    <w:rsid w:val="5DFF121E"/>
    <w:rsid w:val="5FFB731A"/>
    <w:rsid w:val="61295A93"/>
    <w:rsid w:val="61DC7756"/>
    <w:rsid w:val="61FFA754"/>
    <w:rsid w:val="623175E4"/>
    <w:rsid w:val="62712E97"/>
    <w:rsid w:val="62932328"/>
    <w:rsid w:val="62F58AFF"/>
    <w:rsid w:val="64AD73EA"/>
    <w:rsid w:val="66083D7D"/>
    <w:rsid w:val="68B47F81"/>
    <w:rsid w:val="694A0FC7"/>
    <w:rsid w:val="69A57898"/>
    <w:rsid w:val="6A4D0AA9"/>
    <w:rsid w:val="6A7E24FE"/>
    <w:rsid w:val="6BED180A"/>
    <w:rsid w:val="6D9819BD"/>
    <w:rsid w:val="6F041776"/>
    <w:rsid w:val="6FBB993E"/>
    <w:rsid w:val="737F4A05"/>
    <w:rsid w:val="75D0303C"/>
    <w:rsid w:val="75DE6EDB"/>
    <w:rsid w:val="75EF5136"/>
    <w:rsid w:val="76171B4F"/>
    <w:rsid w:val="766E52ED"/>
    <w:rsid w:val="76B37C4D"/>
    <w:rsid w:val="778D7FD4"/>
    <w:rsid w:val="77C247C5"/>
    <w:rsid w:val="784732DF"/>
    <w:rsid w:val="79915E1E"/>
    <w:rsid w:val="79D01309"/>
    <w:rsid w:val="7A9078A6"/>
    <w:rsid w:val="7C1E5BBD"/>
    <w:rsid w:val="7C5E0EEA"/>
    <w:rsid w:val="7CF4160B"/>
    <w:rsid w:val="7F061016"/>
    <w:rsid w:val="7F4B2FEB"/>
    <w:rsid w:val="7FCBBC88"/>
    <w:rsid w:val="8DFDA233"/>
    <w:rsid w:val="B9B95D47"/>
    <w:rsid w:val="BDEB079A"/>
    <w:rsid w:val="BFFFD078"/>
    <w:rsid w:val="DEDFAFBF"/>
    <w:rsid w:val="EFF3377B"/>
    <w:rsid w:val="F5EFEA31"/>
    <w:rsid w:val="F77BFA36"/>
    <w:rsid w:val="F9FB6260"/>
    <w:rsid w:val="FADF9F4D"/>
    <w:rsid w:val="FBED5D29"/>
    <w:rsid w:val="FBF575D0"/>
    <w:rsid w:val="FBFBF19B"/>
    <w:rsid w:val="FD350B31"/>
    <w:rsid w:val="FD5DEB43"/>
    <w:rsid w:val="FEDA42B9"/>
    <w:rsid w:val="FFDD2373"/>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qFormat="1" w:unhideWhenUsed="0" w:uiPriority="99" w:semiHidden="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仿宋" w:hAnsi="仿宋" w:eastAsia="仿宋" w:cs="黑体"/>
      <w:kern w:val="2"/>
      <w:sz w:val="32"/>
      <w:szCs w:val="22"/>
      <w:lang w:val="en-US" w:eastAsia="zh-CN" w:bidi="ar-SA"/>
    </w:rPr>
  </w:style>
  <w:style w:type="paragraph" w:styleId="3">
    <w:name w:val="heading 1"/>
    <w:basedOn w:val="1"/>
    <w:next w:val="1"/>
    <w:link w:val="15"/>
    <w:qFormat/>
    <w:uiPriority w:val="9"/>
    <w:pPr>
      <w:keepNext/>
      <w:keepLines/>
      <w:spacing w:line="560" w:lineRule="exact"/>
      <w:jc w:val="center"/>
      <w:outlineLvl w:val="0"/>
    </w:pPr>
    <w:rPr>
      <w:rFonts w:eastAsia="黑体"/>
      <w:bCs/>
      <w:kern w:val="44"/>
      <w:szCs w:val="44"/>
    </w:rPr>
  </w:style>
  <w:style w:type="paragraph" w:styleId="4">
    <w:name w:val="heading 2"/>
    <w:basedOn w:val="1"/>
    <w:next w:val="1"/>
    <w:link w:val="16"/>
    <w:qFormat/>
    <w:uiPriority w:val="9"/>
    <w:pPr>
      <w:keepNext/>
      <w:keepLines/>
      <w:spacing w:before="50" w:beforeLines="50"/>
      <w:ind w:firstLine="200" w:firstLineChars="200"/>
      <w:outlineLvl w:val="1"/>
    </w:pPr>
    <w:rPr>
      <w:rFonts w:ascii="Calibri Light" w:hAnsi="Calibri Light" w:eastAsia="楷体"/>
      <w:b/>
      <w:bCs/>
      <w:szCs w:val="32"/>
    </w:rPr>
  </w:style>
  <w:style w:type="paragraph" w:styleId="5">
    <w:name w:val="heading 3"/>
    <w:basedOn w:val="1"/>
    <w:next w:val="1"/>
    <w:link w:val="17"/>
    <w:qFormat/>
    <w:uiPriority w:val="0"/>
    <w:pPr>
      <w:keepNext/>
      <w:keepLines/>
      <w:spacing w:before="50" w:beforeLines="50" w:line="360" w:lineRule="auto"/>
      <w:ind w:firstLine="200" w:firstLineChars="200"/>
      <w:outlineLvl w:val="2"/>
    </w:pPr>
    <w:rPr>
      <w:b/>
      <w:bCs/>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index 9"/>
    <w:basedOn w:val="1"/>
    <w:next w:val="1"/>
    <w:qFormat/>
    <w:uiPriority w:val="99"/>
    <w:pPr>
      <w:ind w:left="3360"/>
    </w:pPr>
  </w:style>
  <w:style w:type="paragraph" w:styleId="6">
    <w:name w:val="annotation text"/>
    <w:basedOn w:val="1"/>
    <w:unhideWhenUsed/>
    <w:qFormat/>
    <w:uiPriority w:val="0"/>
    <w:pPr>
      <w:jc w:val="left"/>
    </w:pPr>
  </w:style>
  <w:style w:type="paragraph" w:styleId="7">
    <w:name w:val="Balloon Text"/>
    <w:basedOn w:val="1"/>
    <w:link w:val="18"/>
    <w:qFormat/>
    <w:uiPriority w:val="0"/>
    <w:rPr>
      <w:sz w:val="18"/>
      <w:szCs w:val="18"/>
    </w:rPr>
  </w:style>
  <w:style w:type="paragraph" w:styleId="8">
    <w:name w:val="footer"/>
    <w:basedOn w:val="1"/>
    <w:link w:val="19"/>
    <w:qFormat/>
    <w:uiPriority w:val="99"/>
    <w:pPr>
      <w:tabs>
        <w:tab w:val="center" w:pos="4153"/>
        <w:tab w:val="right" w:pos="8306"/>
      </w:tabs>
      <w:snapToGrid w:val="0"/>
      <w:jc w:val="left"/>
    </w:pPr>
    <w:rPr>
      <w:sz w:val="18"/>
      <w:szCs w:val="18"/>
    </w:rPr>
  </w:style>
  <w:style w:type="paragraph" w:styleId="9">
    <w:name w:val="header"/>
    <w:basedOn w:val="1"/>
    <w:link w:val="20"/>
    <w:qFormat/>
    <w:uiPriority w:val="99"/>
    <w:pPr>
      <w:pBdr>
        <w:bottom w:val="single" w:color="auto" w:sz="6" w:space="1"/>
      </w:pBdr>
      <w:tabs>
        <w:tab w:val="center" w:pos="4153"/>
        <w:tab w:val="right" w:pos="8306"/>
      </w:tabs>
      <w:snapToGrid w:val="0"/>
      <w:jc w:val="center"/>
    </w:pPr>
    <w:rPr>
      <w:sz w:val="18"/>
      <w:szCs w:val="18"/>
    </w:rPr>
  </w:style>
  <w:style w:type="paragraph" w:styleId="10">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rPr>
  </w:style>
  <w:style w:type="table" w:styleId="12">
    <w:name w:val="Table Grid"/>
    <w:basedOn w:val="11"/>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Default"/>
    <w:qFormat/>
    <w:uiPriority w:val="99"/>
    <w:pPr>
      <w:widowControl w:val="0"/>
      <w:autoSpaceDE w:val="0"/>
      <w:autoSpaceDN w:val="0"/>
      <w:adjustRightInd w:val="0"/>
    </w:pPr>
    <w:rPr>
      <w:rFonts w:ascii="仿宋_GB2312" w:hAnsi="Calibri" w:eastAsia="仿宋_GB2312" w:cs="黑体"/>
      <w:color w:val="000000"/>
      <w:sz w:val="24"/>
      <w:szCs w:val="22"/>
      <w:lang w:val="en-US" w:eastAsia="zh-CN" w:bidi="ar-SA"/>
    </w:rPr>
  </w:style>
  <w:style w:type="character" w:customStyle="1" w:styleId="15">
    <w:name w:val="标题 1 字符"/>
    <w:link w:val="3"/>
    <w:qFormat/>
    <w:uiPriority w:val="9"/>
    <w:rPr>
      <w:rFonts w:ascii="Calibri" w:hAnsi="Calibri" w:eastAsia="黑体" w:cs="黑体"/>
      <w:bCs/>
      <w:kern w:val="44"/>
      <w:sz w:val="32"/>
      <w:szCs w:val="44"/>
    </w:rPr>
  </w:style>
  <w:style w:type="character" w:customStyle="1" w:styleId="16">
    <w:name w:val="标题 2 字符"/>
    <w:link w:val="4"/>
    <w:qFormat/>
    <w:uiPriority w:val="9"/>
    <w:rPr>
      <w:rFonts w:ascii="Calibri Light" w:hAnsi="Calibri Light" w:eastAsia="楷体" w:cs="黑体"/>
      <w:b/>
      <w:bCs/>
      <w:kern w:val="2"/>
      <w:sz w:val="32"/>
      <w:szCs w:val="32"/>
    </w:rPr>
  </w:style>
  <w:style w:type="character" w:customStyle="1" w:styleId="17">
    <w:name w:val="标题 3 字符"/>
    <w:link w:val="5"/>
    <w:qFormat/>
    <w:uiPriority w:val="0"/>
    <w:rPr>
      <w:rFonts w:ascii="Calibri" w:hAnsi="Calibri" w:eastAsia="仿宋" w:cs="黑体"/>
      <w:b/>
      <w:bCs/>
      <w:kern w:val="2"/>
      <w:sz w:val="32"/>
      <w:szCs w:val="32"/>
    </w:rPr>
  </w:style>
  <w:style w:type="character" w:customStyle="1" w:styleId="18">
    <w:name w:val="批注框文本 字符"/>
    <w:link w:val="7"/>
    <w:qFormat/>
    <w:uiPriority w:val="0"/>
    <w:rPr>
      <w:rFonts w:ascii="Calibri" w:hAnsi="Calibri" w:eastAsia="仿宋" w:cs="黑体"/>
      <w:kern w:val="2"/>
      <w:sz w:val="18"/>
      <w:szCs w:val="18"/>
    </w:rPr>
  </w:style>
  <w:style w:type="character" w:customStyle="1" w:styleId="19">
    <w:name w:val="页脚 字符"/>
    <w:link w:val="8"/>
    <w:qFormat/>
    <w:uiPriority w:val="99"/>
    <w:rPr>
      <w:rFonts w:eastAsia="仿宋"/>
      <w:sz w:val="18"/>
      <w:szCs w:val="18"/>
    </w:rPr>
  </w:style>
  <w:style w:type="character" w:customStyle="1" w:styleId="20">
    <w:name w:val="页眉 字符"/>
    <w:link w:val="9"/>
    <w:qFormat/>
    <w:uiPriority w:val="99"/>
    <w:rPr>
      <w:rFonts w:eastAsia="仿宋"/>
      <w:sz w:val="18"/>
      <w:szCs w:val="18"/>
    </w:rPr>
  </w:style>
  <w:style w:type="paragraph" w:customStyle="1" w:styleId="21">
    <w:name w:val="列表段落1"/>
    <w:basedOn w:val="1"/>
    <w:qFormat/>
    <w:uiPriority w:val="34"/>
    <w:pPr>
      <w:ind w:firstLine="420" w:firstLineChars="200"/>
    </w:pPr>
  </w:style>
  <w:style w:type="paragraph" w:customStyle="1" w:styleId="22">
    <w:name w:val="_Style 20"/>
    <w:hidden/>
    <w:unhideWhenUsed/>
    <w:qFormat/>
    <w:uiPriority w:val="99"/>
    <w:rPr>
      <w:rFonts w:ascii="Calibri" w:hAnsi="Calibri" w:eastAsia="仿宋" w:cs="黑体"/>
      <w:kern w:val="2"/>
      <w:sz w:val="32"/>
      <w:szCs w:val="22"/>
      <w:lang w:val="en-US" w:eastAsia="zh-CN" w:bidi="ar-SA"/>
    </w:rPr>
  </w:style>
  <w:style w:type="paragraph" w:customStyle="1" w:styleId="23">
    <w:name w:val="Revision"/>
    <w:hidden/>
    <w:semiHidden/>
    <w:qFormat/>
    <w:uiPriority w:val="99"/>
    <w:rPr>
      <w:rFonts w:ascii="仿宋" w:hAnsi="仿宋" w:eastAsia="仿宋" w:cs="黑体"/>
      <w:kern w:val="2"/>
      <w:sz w:val="32"/>
      <w:szCs w:val="22"/>
      <w:lang w:val="en-US" w:eastAsia="zh-CN" w:bidi="ar-SA"/>
    </w:rPr>
  </w:style>
</w:styles>
</file>

<file path=word/_rels/document.xml.rels><?xml version="1.0" encoding="UTF-8" standalone="yes"?>
<Relationships xmlns="http://schemas.openxmlformats.org/package/2006/relationships"><Relationship Id="rId9" Type="http://schemas.microsoft.com/office/2011/relationships/people" Target="people.xml"/><Relationship Id="rId8" Type="http://schemas.openxmlformats.org/officeDocument/2006/relationships/fontTable" Target="fontTable.xml"/><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china</Company>
  <Pages>33</Pages>
  <Words>15604</Words>
  <Characters>15713</Characters>
  <Lines>3</Lines>
  <Paragraphs>31</Paragraphs>
  <TotalTime>1</TotalTime>
  <ScaleCrop>false</ScaleCrop>
  <LinksUpToDate>false</LinksUpToDate>
  <CharactersWithSpaces>15740</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2022-08-30T09:49:00Z</dcterms:created>
  <dc:creator>AutoBVT</dc:creator>
  <cp:lastModifiedBy>pp</cp:lastModifiedBy>
  <cp:lastPrinted>2022-08-30T09:44:00Z</cp:lastPrinted>
  <dcterms:modified xsi:type="dcterms:W3CDTF">2022-08-31T09:31:15Z</dcterms:modified>
  <dc:title>郑州市文物博物馆事业“十四五”规划</dc:title>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E228ABD3F8984FBDB039D3CD2638DC16</vt:lpwstr>
  </property>
</Properties>
</file>