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《关于推</w:t>
      </w:r>
      <w:bookmarkStart w:id="0" w:name="_GoBack"/>
      <w:bookmarkEnd w:id="0"/>
      <w:r>
        <w:rPr>
          <w:rFonts w:hint="eastAsia" w:ascii="方正小标宋简体" w:hAnsi="方正小标宋简体" w:eastAsia="方正小标宋简体" w:cs="方正小标宋简体"/>
          <w:b w:val="0"/>
          <w:bCs w:val="0"/>
          <w:sz w:val="44"/>
          <w:szCs w:val="44"/>
        </w:rPr>
        <w:t>进郑州百家博物馆建设实施方案》</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pPr>
        <w:pStyle w:val="2"/>
        <w:spacing w:before="156"/>
        <w:ind w:firstLine="422"/>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升博物馆公共文化服务质量，健全完善全市博物馆体系，持续推动全市博物馆事业高质量发展，服务好郑州都市圈、国家中心城市建设，打造郑州在省会城市中具有竞争力的文化遗产事业高质量发展体系，</w:t>
      </w:r>
      <w:r>
        <w:rPr>
          <w:rFonts w:ascii="仿宋_GB2312" w:hAnsi="仿宋_GB2312" w:eastAsia="仿宋_GB2312" w:cs="仿宋_GB2312"/>
          <w:sz w:val="32"/>
          <w:szCs w:val="32"/>
        </w:rPr>
        <w:t>特制定</w:t>
      </w:r>
      <w:r>
        <w:rPr>
          <w:rFonts w:hint="eastAsia" w:ascii="仿宋_GB2312" w:hAnsi="仿宋_GB2312" w:eastAsia="仿宋_GB2312" w:cs="仿宋_GB2312"/>
          <w:sz w:val="32"/>
          <w:szCs w:val="32"/>
          <w:lang w:eastAsia="zh-CN"/>
        </w:rPr>
        <w:t>此</w:t>
      </w:r>
      <w:r>
        <w:rPr>
          <w:rFonts w:ascii="仿宋_GB2312" w:hAnsi="仿宋_GB2312" w:eastAsia="仿宋_GB2312" w:cs="仿宋_GB2312"/>
          <w:sz w:val="32"/>
          <w:szCs w:val="32"/>
        </w:rPr>
        <w:t>方案。</w:t>
      </w:r>
    </w:p>
    <w:p>
      <w:pPr>
        <w:spacing w:line="560" w:lineRule="exact"/>
        <w:ind w:firstLine="640" w:firstLineChars="200"/>
        <w:rPr>
          <w:rFonts w:hint="eastAsia" w:ascii="黑体" w:hAnsi="宋体" w:eastAsia="黑体" w:cs="仿宋_GB2312"/>
          <w:sz w:val="32"/>
          <w:szCs w:val="32"/>
        </w:rPr>
      </w:pPr>
      <w:r>
        <w:rPr>
          <w:rFonts w:hint="eastAsia" w:ascii="黑体" w:hAnsi="宋体" w:eastAsia="黑体" w:cs="仿宋_GB2312"/>
          <w:sz w:val="32"/>
          <w:szCs w:val="32"/>
        </w:rPr>
        <w:t>一、调研论证过程</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市文物局高度重视</w:t>
      </w:r>
      <w:r>
        <w:rPr>
          <w:rFonts w:ascii="仿宋_GB2312" w:hAnsi="仿宋_GB2312" w:eastAsia="仿宋_GB2312" w:cs="仿宋_GB2312"/>
          <w:sz w:val="32"/>
          <w:szCs w:val="32"/>
        </w:rPr>
        <w:t>《关于推进郑州百家博物馆建设实施方案》起草工作</w:t>
      </w:r>
      <w:r>
        <w:rPr>
          <w:rFonts w:hint="eastAsia" w:ascii="仿宋_GB2312" w:hAnsi="仿宋_GB2312" w:eastAsia="仿宋_GB2312" w:cs="仿宋_GB2312"/>
          <w:sz w:val="32"/>
          <w:szCs w:val="32"/>
        </w:rPr>
        <w:t>，专门成立了起草工作领导小组，抽调文物系统的业内骨干和相关专家组成起草小组，在调研分析我市博物馆发展状况的基础上，认真学习《国务院办公厅关于印发</w:t>
      </w:r>
      <w:r>
        <w:fldChar w:fldCharType="begin"/>
      </w:r>
      <w:r>
        <w:instrText xml:space="preserve"> HYPERLINK "https://www.waizi.org.cn/doc/123549.html" \t "https://www.waizi.org.cn/doc/_blank" \o "国办发〔2021〕43号《国务院办公厅关于印发“十四五”文物保护和科技创新规划的通知》【全文附PDF版下载】" </w:instrText>
      </w:r>
      <w:r>
        <w:fldChar w:fldCharType="separate"/>
      </w:r>
      <w:r>
        <w:fldChar w:fldCharType="end"/>
      </w:r>
      <w:r>
        <w:fldChar w:fldCharType="begin"/>
      </w:r>
      <w:r>
        <w:instrText xml:space="preserve"> HYPERLINK "https://www.waizi.org.cn/doc/123549.html" \t "https://www.waizi.org.cn/doc/_blank" \o "国办发〔2021〕43号《国务院办公厅关于印发“十四五”文物保护和科技创新规划的通知》【全文附PDF版下载】" </w:instrText>
      </w:r>
      <w:r>
        <w:fldChar w:fldCharType="separate"/>
      </w:r>
      <w:r>
        <w:rPr>
          <w:rFonts w:hint="eastAsia" w:ascii="仿宋_GB2312" w:hAnsi="仿宋_GB2312" w:eastAsia="仿宋_GB2312" w:cs="仿宋_GB2312"/>
          <w:sz w:val="32"/>
          <w:szCs w:val="32"/>
        </w:rPr>
        <w:t>“十四五”文物保护和科技创新规划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的通知》、</w:t>
      </w:r>
      <w:r>
        <w:rPr>
          <w:rFonts w:ascii="仿宋_GB2312" w:hAnsi="仿宋_GB2312" w:eastAsia="仿宋_GB2312" w:cs="仿宋_GB2312"/>
          <w:sz w:val="32"/>
          <w:szCs w:val="32"/>
        </w:rPr>
        <w:t>中</w:t>
      </w:r>
      <w:r>
        <w:rPr>
          <w:rFonts w:hint="eastAsia" w:ascii="仿宋_GB2312" w:hAnsi="仿宋_GB2312" w:eastAsia="仿宋_GB2312" w:cs="仿宋_GB2312"/>
          <w:sz w:val="32"/>
          <w:szCs w:val="32"/>
        </w:rPr>
        <w:t>宣部等</w:t>
      </w:r>
      <w:r>
        <w:rPr>
          <w:rFonts w:ascii="仿宋_GB2312" w:hAnsi="仿宋_GB2312" w:eastAsia="仿宋_GB2312" w:cs="仿宋_GB2312"/>
          <w:sz w:val="32"/>
          <w:szCs w:val="32"/>
        </w:rPr>
        <w:t>九部委</w:t>
      </w:r>
      <w:r>
        <w:rPr>
          <w:rFonts w:hint="eastAsia" w:ascii="仿宋_GB2312" w:hAnsi="仿宋_GB2312" w:eastAsia="仿宋_GB2312" w:cs="仿宋_GB2312"/>
          <w:sz w:val="32"/>
          <w:szCs w:val="32"/>
        </w:rPr>
        <w:t>《关于推进博物馆改革发展的指导意见》、《河南省人民政府办公厅关于进一步推动文物事业高质量发展的实施意见》等政策法规，参照</w:t>
      </w:r>
      <w:r>
        <w:rPr>
          <w:rFonts w:ascii="仿宋_GB2312" w:hAnsi="仿宋_GB2312" w:eastAsia="仿宋_GB2312" w:cs="仿宋_GB2312"/>
          <w:sz w:val="32"/>
          <w:szCs w:val="32"/>
        </w:rPr>
        <w:t>成都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西安</w:t>
      </w:r>
      <w:r>
        <w:rPr>
          <w:rFonts w:hint="eastAsia" w:ascii="仿宋_GB2312" w:hAnsi="仿宋_GB2312" w:eastAsia="仿宋_GB2312" w:cs="仿宋_GB2312"/>
          <w:sz w:val="32"/>
          <w:szCs w:val="32"/>
        </w:rPr>
        <w:t>等城市对博物馆事业发展的相关文件，起草了《</w:t>
      </w:r>
      <w:r>
        <w:rPr>
          <w:rFonts w:ascii="仿宋_GB2312" w:hAnsi="仿宋_GB2312" w:eastAsia="仿宋_GB2312" w:cs="仿宋_GB2312"/>
          <w:sz w:val="32"/>
          <w:szCs w:val="32"/>
        </w:rPr>
        <w:t>关于推进郑州百家博物馆建设实施方案</w:t>
      </w:r>
      <w:r>
        <w:rPr>
          <w:rFonts w:hint="eastAsia" w:ascii="仿宋_GB2312" w:hAnsi="仿宋_GB2312" w:eastAsia="仿宋_GB2312" w:cs="仿宋_GB2312"/>
          <w:sz w:val="32"/>
          <w:szCs w:val="32"/>
        </w:rPr>
        <w:t>》草稿。在起草过程中，先后多次征询各方面意见，向市直机关相关单位、各县（市、区）文物管理部门征求意见等方式，对拟出台的</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方案进行反复修改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市文物局党组还对《</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方案》进行了研究讨论，形成了目前的稿件。</w:t>
      </w: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二、拟确定的主要制度和措施</w:t>
      </w:r>
    </w:p>
    <w:p>
      <w:pPr>
        <w:widowControl/>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（一）拟确定的</w:t>
      </w:r>
      <w:r>
        <w:rPr>
          <w:rFonts w:ascii="楷体" w:hAnsi="楷体" w:eastAsia="楷体" w:cs="楷体"/>
          <w:sz w:val="32"/>
          <w:szCs w:val="32"/>
        </w:rPr>
        <w:t>总体目标</w:t>
      </w:r>
      <w:r>
        <w:rPr>
          <w:rFonts w:ascii="楷体" w:hAnsi="楷体" w:cs="楷体"/>
          <w:sz w:val="32"/>
          <w:szCs w:val="32"/>
        </w:rPr>
        <w:t>。</w:t>
      </w:r>
      <w:r>
        <w:rPr>
          <w:rFonts w:ascii="仿宋_GB2312" w:hAnsi="仿宋_GB2312" w:eastAsia="仿宋_GB2312" w:cs="仿宋_GB2312"/>
          <w:sz w:val="32"/>
          <w:szCs w:val="32"/>
        </w:rPr>
        <w:t>持续推进百家博物馆建设，一是</w:t>
      </w:r>
      <w:r>
        <w:rPr>
          <w:rFonts w:hint="eastAsia" w:ascii="仿宋_GB2312" w:hAnsi="仿宋_GB2312" w:eastAsia="仿宋_GB2312" w:cs="仿宋_GB2312"/>
          <w:sz w:val="32"/>
          <w:szCs w:val="32"/>
        </w:rPr>
        <w:t>数量规模上有突破。</w:t>
      </w:r>
      <w:r>
        <w:rPr>
          <w:rFonts w:ascii="仿宋_GB2312" w:hAnsi="仿宋_GB2312" w:eastAsia="仿宋_GB2312" w:cs="仿宋_GB2312"/>
          <w:sz w:val="32"/>
          <w:szCs w:val="32"/>
        </w:rPr>
        <w:t>备案博物馆数量</w:t>
      </w:r>
      <w:r>
        <w:rPr>
          <w:rFonts w:hint="eastAsia" w:ascii="仿宋_GB2312" w:hAnsi="仿宋_GB2312" w:eastAsia="仿宋_GB2312" w:cs="仿宋_GB2312"/>
          <w:sz w:val="32"/>
          <w:szCs w:val="32"/>
        </w:rPr>
        <w:t>在国家中心城市排名中上升一名次。</w:t>
      </w:r>
      <w:r>
        <w:rPr>
          <w:rFonts w:ascii="仿宋_GB2312" w:hAnsi="仿宋_GB2312" w:eastAsia="仿宋_GB2312" w:cs="仿宋_GB2312"/>
          <w:sz w:val="32"/>
          <w:szCs w:val="32"/>
        </w:rPr>
        <w:t>二是</w:t>
      </w:r>
      <w:r>
        <w:rPr>
          <w:rFonts w:hint="eastAsia" w:ascii="仿宋_GB2312" w:hAnsi="仿宋_GB2312" w:eastAsia="仿宋_GB2312" w:cs="仿宋_GB2312"/>
          <w:sz w:val="32"/>
          <w:szCs w:val="32"/>
        </w:rPr>
        <w:t>博物馆区域服务均等化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博物馆建设薄弱的县市（区）</w:t>
      </w:r>
      <w:r>
        <w:rPr>
          <w:rFonts w:ascii="仿宋_GB2312" w:hAnsi="仿宋_GB2312" w:eastAsia="仿宋_GB2312" w:cs="仿宋_GB2312"/>
          <w:sz w:val="32"/>
          <w:szCs w:val="32"/>
        </w:rPr>
        <w:t>博物馆数量、质量和公共服务水平</w:t>
      </w:r>
      <w:r>
        <w:rPr>
          <w:rFonts w:hint="eastAsia" w:ascii="仿宋_GB2312" w:hAnsi="仿宋_GB2312" w:eastAsia="仿宋_GB2312" w:cs="仿宋_GB2312"/>
          <w:sz w:val="32"/>
          <w:szCs w:val="32"/>
        </w:rPr>
        <w:t>力争达到全市博物馆平均水平。</w:t>
      </w:r>
      <w:r>
        <w:rPr>
          <w:rFonts w:ascii="仿宋_GB2312" w:hAnsi="仿宋_GB2312" w:eastAsia="仿宋_GB2312" w:cs="仿宋_GB2312"/>
          <w:sz w:val="32"/>
          <w:szCs w:val="32"/>
        </w:rPr>
        <w:t>三是</w:t>
      </w:r>
      <w:r>
        <w:rPr>
          <w:rFonts w:hint="eastAsia" w:ascii="仿宋_GB2312" w:hAnsi="仿宋_GB2312" w:eastAsia="仿宋_GB2312" w:cs="仿宋_GB2312"/>
          <w:sz w:val="32"/>
          <w:szCs w:val="32"/>
        </w:rPr>
        <w:t>博物馆质量档次有效提升。国家三级以上博物馆数量在原有基础上增加50%。</w:t>
      </w:r>
      <w:r>
        <w:rPr>
          <w:rFonts w:ascii="仿宋_GB2312" w:hAnsi="仿宋_GB2312" w:eastAsia="仿宋_GB2312" w:cs="仿宋_GB2312"/>
          <w:sz w:val="32"/>
          <w:szCs w:val="32"/>
        </w:rPr>
        <w:t>四是</w:t>
      </w:r>
      <w:r>
        <w:rPr>
          <w:rFonts w:hint="eastAsia" w:ascii="仿宋_GB2312" w:hAnsi="仿宋_GB2312" w:eastAsia="仿宋_GB2312" w:cs="仿宋_GB2312"/>
          <w:sz w:val="32"/>
          <w:szCs w:val="32"/>
        </w:rPr>
        <w:t>公共服务水平显著提高。</w:t>
      </w:r>
      <w:r>
        <w:rPr>
          <w:rFonts w:ascii="仿宋_GB2312" w:hAnsi="仿宋_GB2312" w:eastAsia="仿宋_GB2312" w:cs="仿宋_GB2312"/>
          <w:sz w:val="32"/>
          <w:szCs w:val="32"/>
        </w:rPr>
        <w:t>博物馆公共服务覆盖面进一步扩大，</w:t>
      </w:r>
      <w:r>
        <w:rPr>
          <w:rFonts w:hint="eastAsia" w:ascii="仿宋_GB2312" w:hAnsi="仿宋_GB2312" w:eastAsia="仿宋_GB2312" w:cs="仿宋_GB2312"/>
          <w:sz w:val="32"/>
          <w:szCs w:val="32"/>
        </w:rPr>
        <w:t xml:space="preserve">活化利用水平显著提升。                          </w:t>
      </w:r>
    </w:p>
    <w:p>
      <w:pPr>
        <w:widowControl/>
        <w:spacing w:line="560" w:lineRule="exact"/>
        <w:ind w:firstLine="640" w:firstLineChars="200"/>
        <w:rPr>
          <w:rFonts w:ascii="仿宋_GB2312" w:hAnsi="仿宋_GB2312" w:eastAsia="仿宋_GB2312" w:cs="仿宋_GB2312"/>
          <w:sz w:val="32"/>
          <w:szCs w:val="32"/>
        </w:rPr>
      </w:pPr>
      <w:r>
        <w:rPr>
          <w:rFonts w:ascii="楷体" w:hAnsi="楷体" w:eastAsia="楷体" w:cs="楷体"/>
          <w:sz w:val="32"/>
          <w:szCs w:val="32"/>
        </w:rPr>
        <w:t>（三）</w:t>
      </w:r>
      <w:r>
        <w:rPr>
          <w:rFonts w:hint="eastAsia" w:ascii="楷体" w:hAnsi="楷体" w:eastAsia="楷体" w:cs="楷体"/>
          <w:sz w:val="32"/>
          <w:szCs w:val="32"/>
        </w:rPr>
        <w:t>拟确定的</w:t>
      </w:r>
      <w:r>
        <w:rPr>
          <w:rFonts w:ascii="楷体" w:hAnsi="楷体" w:eastAsia="楷体" w:cs="楷体"/>
          <w:sz w:val="32"/>
          <w:szCs w:val="32"/>
        </w:rPr>
        <w:t>主要任务和措施。</w:t>
      </w:r>
      <w:r>
        <w:rPr>
          <w:rFonts w:ascii="仿宋_GB2312" w:hAnsi="仿宋_GB2312" w:eastAsia="仿宋_GB2312" w:cs="仿宋_GB2312"/>
          <w:sz w:val="32"/>
          <w:szCs w:val="32"/>
        </w:rPr>
        <w:t>拟从优化博物馆布局、创新展览、加强藏品征集保护和管理、加强学术研究和交流、推进博物馆数字化、促进博物馆活化利用、加强新媒体传播、提升社会教育和公共服务、开展类博物馆孵化等九个方面推进博物馆建设。</w:t>
      </w:r>
      <w:r>
        <w:rPr>
          <w:rFonts w:ascii="仿宋_GB2312" w:hAnsi="仿宋_GB2312" w:eastAsia="仿宋_GB2312" w:cs="仿宋_GB2312"/>
          <w:b/>
          <w:bCs/>
          <w:sz w:val="32"/>
          <w:szCs w:val="32"/>
        </w:rPr>
        <w:t>一是不断优化博物馆布局</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加强博物馆体系建设，修订</w:t>
      </w:r>
      <w:r>
        <w:rPr>
          <w:rFonts w:hint="eastAsia" w:ascii="仿宋_GB2312" w:hAnsi="仿宋_GB2312" w:eastAsia="仿宋_GB2312" w:cs="仿宋_GB2312"/>
          <w:sz w:val="32"/>
          <w:szCs w:val="32"/>
        </w:rPr>
        <w:t>《郑州市博物馆事</w:t>
      </w:r>
      <w:r>
        <w:rPr>
          <w:rFonts w:ascii="仿宋_GB2312" w:hAnsi="仿宋_GB2312" w:eastAsia="仿宋_GB2312" w:cs="仿宋_GB2312"/>
          <w:sz w:val="32"/>
          <w:szCs w:val="32"/>
        </w:rPr>
        <w:t>业</w:t>
      </w:r>
      <w:r>
        <w:rPr>
          <w:rFonts w:hint="eastAsia" w:ascii="仿宋_GB2312" w:hAnsi="仿宋_GB2312" w:eastAsia="仿宋_GB2312" w:cs="仿宋_GB2312"/>
          <w:sz w:val="32"/>
          <w:szCs w:val="32"/>
        </w:rPr>
        <w:t>发展扶持办法》</w:t>
      </w:r>
      <w:r>
        <w:rPr>
          <w:rFonts w:ascii="仿宋_GB2312" w:hAnsi="仿宋_GB2312" w:eastAsia="仿宋_GB2312" w:cs="仿宋_GB2312"/>
          <w:sz w:val="32"/>
          <w:szCs w:val="32"/>
        </w:rPr>
        <w:t>，持续鼓励博物馆聚落建设。</w:t>
      </w:r>
      <w:r>
        <w:rPr>
          <w:rFonts w:hint="eastAsia" w:ascii="仿宋_GB2312" w:hAnsi="仿宋_GB2312" w:eastAsia="仿宋_GB2312" w:cs="仿宋_GB2312"/>
          <w:sz w:val="32"/>
          <w:szCs w:val="32"/>
        </w:rPr>
        <w:t>全市逐步形成类型丰富、主体多元的现代博物馆体系；</w:t>
      </w:r>
      <w:r>
        <w:rPr>
          <w:rFonts w:ascii="仿宋_GB2312" w:hAnsi="仿宋_GB2312" w:eastAsia="仿宋_GB2312" w:cs="仿宋_GB2312"/>
          <w:b/>
          <w:bCs/>
          <w:sz w:val="32"/>
          <w:szCs w:val="32"/>
        </w:rPr>
        <w:t>二是</w:t>
      </w:r>
      <w:r>
        <w:rPr>
          <w:rFonts w:hint="eastAsia" w:ascii="仿宋_GB2312" w:hAnsi="仿宋_GB2312" w:eastAsia="仿宋_GB2312" w:cs="仿宋_GB2312"/>
          <w:b/>
          <w:bCs/>
          <w:sz w:val="32"/>
          <w:szCs w:val="32"/>
        </w:rPr>
        <w:t>创新展览内容和形式</w:t>
      </w:r>
      <w:r>
        <w:rPr>
          <w:rFonts w:hint="eastAsia" w:ascii="仿宋_GB2312" w:hAnsi="仿宋_GB2312" w:eastAsia="仿宋_GB2312" w:cs="仿宋_GB2312"/>
          <w:sz w:val="32"/>
          <w:szCs w:val="32"/>
        </w:rPr>
        <w:t>，策划体现郑州特色、中原文化特色、彰显社会主义核心价值观的原创精品展览，加强展览筹划和设计，融入数字化手段，打造沉浸式体验。积极参加河南省优秀陈列展览、全国博物馆十大陈列展览等评选，打造优秀展览品牌。加强展览对外交流；</w:t>
      </w:r>
      <w:r>
        <w:rPr>
          <w:rFonts w:hint="eastAsia" w:ascii="仿宋_GB2312" w:hAnsi="仿宋_GB2312" w:eastAsia="仿宋_GB2312" w:cs="仿宋_GB2312"/>
          <w:b/>
          <w:bCs/>
          <w:sz w:val="32"/>
          <w:szCs w:val="32"/>
        </w:rPr>
        <w:t>三是加强藏品征集、保护和管理，</w:t>
      </w:r>
      <w:r>
        <w:rPr>
          <w:rFonts w:hint="eastAsia" w:ascii="仿宋_GB2312" w:hAnsi="仿宋_GB2312" w:eastAsia="仿宋_GB2312" w:cs="仿宋_GB2312"/>
          <w:sz w:val="32"/>
          <w:szCs w:val="32"/>
        </w:rPr>
        <w:t>推进藏品档案信息化、标准化建设。丰富博物馆藏品体系，推进馆藏文物保存条件达标和标准化库房建设工程。加强文物预防性保护，支持博物馆开展保护技术、修复技术等方面的创新研发；</w:t>
      </w:r>
      <w:r>
        <w:rPr>
          <w:rFonts w:hint="eastAsia" w:ascii="仿宋_GB2312" w:hAnsi="仿宋_GB2312" w:eastAsia="仿宋_GB2312" w:cs="仿宋_GB2312"/>
          <w:b/>
          <w:bCs/>
          <w:sz w:val="32"/>
          <w:szCs w:val="32"/>
        </w:rPr>
        <w:t>四是加强学术研究与交流，</w:t>
      </w:r>
      <w:r>
        <w:rPr>
          <w:rFonts w:hint="eastAsia" w:ascii="仿宋_GB2312" w:hAnsi="仿宋_GB2312" w:eastAsia="仿宋_GB2312" w:cs="仿宋_GB2312"/>
          <w:sz w:val="32"/>
          <w:szCs w:val="32"/>
        </w:rPr>
        <w:t>推动黄河文化、黄帝文化、夏文化、嵩山文化、商都文化、革命传统文化等文物资源阐释研究，深化与高等院校、科研院所的合作与交流，鼓励博物馆参与国际学术交流与合作；</w:t>
      </w:r>
      <w:r>
        <w:rPr>
          <w:rFonts w:hint="eastAsia" w:ascii="仿宋_GB2312" w:hAnsi="仿宋_GB2312" w:eastAsia="仿宋_GB2312" w:cs="仿宋_GB2312"/>
          <w:b/>
          <w:bCs/>
          <w:sz w:val="32"/>
          <w:szCs w:val="32"/>
        </w:rPr>
        <w:t>五是推进博物馆数字化建设，</w:t>
      </w:r>
      <w:r>
        <w:rPr>
          <w:rFonts w:hint="eastAsia" w:ascii="仿宋_GB2312" w:hAnsi="仿宋_GB2312" w:eastAsia="仿宋_GB2312" w:cs="仿宋_GB2312"/>
          <w:sz w:val="32"/>
          <w:szCs w:val="32"/>
        </w:rPr>
        <w:t>加强文物数字化保护，打造展览数字化，探索博物馆数字化教育，提供智能化管理服务；</w:t>
      </w:r>
      <w:r>
        <w:rPr>
          <w:rFonts w:hint="eastAsia" w:ascii="仿宋_GB2312" w:hAnsi="仿宋_GB2312" w:eastAsia="仿宋_GB2312" w:cs="仿宋_GB2312"/>
          <w:b/>
          <w:bCs/>
          <w:sz w:val="32"/>
          <w:szCs w:val="32"/>
        </w:rPr>
        <w:t>六是探索博物馆活化利用新方式，</w:t>
      </w:r>
      <w:r>
        <w:rPr>
          <w:rFonts w:hint="eastAsia" w:ascii="仿宋_GB2312" w:hAnsi="仿宋_GB2312" w:eastAsia="仿宋_GB2312" w:cs="仿宋_GB2312"/>
          <w:sz w:val="32"/>
          <w:szCs w:val="32"/>
        </w:rPr>
        <w:t>推动博物馆利用场地空间、展陈展览、文物资源、研学课程等文物资源，采取合作、授权等多元化方式，开展公共空间运营、文化服务运营、商品开发运营和“博物馆+”品牌授权运营；</w:t>
      </w:r>
      <w:r>
        <w:rPr>
          <w:rFonts w:hint="eastAsia" w:ascii="仿宋_GB2312" w:hAnsi="仿宋_GB2312" w:eastAsia="仿宋_GB2312" w:cs="仿宋_GB2312"/>
          <w:b/>
          <w:bCs/>
          <w:sz w:val="32"/>
          <w:szCs w:val="32"/>
        </w:rPr>
        <w:t>七是打造博物馆新媒体传播矩阵，</w:t>
      </w:r>
      <w:r>
        <w:rPr>
          <w:rFonts w:hint="eastAsia" w:ascii="仿宋_GB2312" w:hAnsi="仿宋_GB2312" w:eastAsia="仿宋_GB2312" w:cs="仿宋_GB2312"/>
          <w:sz w:val="32"/>
          <w:szCs w:val="32"/>
        </w:rPr>
        <w:t>开展博物馆宣传阵地“十百万”工程，打造“大V”级博物馆新媒体平台。加强与顶端新闻客户端、抖音等网络新媒体宣传平台的合作，在重要时间节点策划活动宣传，讲好郑州文物故事；</w:t>
      </w:r>
      <w:r>
        <w:rPr>
          <w:rFonts w:hint="eastAsia" w:ascii="仿宋_GB2312" w:hAnsi="仿宋_GB2312" w:eastAsia="仿宋_GB2312" w:cs="仿宋_GB2312"/>
          <w:b/>
          <w:bCs/>
          <w:sz w:val="32"/>
          <w:szCs w:val="32"/>
        </w:rPr>
        <w:t>八是不断提升社会教育和公共务服务水平，</w:t>
      </w:r>
      <w:r>
        <w:rPr>
          <w:rFonts w:hint="eastAsia" w:ascii="仿宋_GB2312" w:hAnsi="仿宋_GB2312" w:eastAsia="仿宋_GB2312" w:cs="仿宋_GB2312"/>
          <w:sz w:val="32"/>
          <w:szCs w:val="32"/>
        </w:rPr>
        <w:t>加强与中小学的合作，开发适合不同学生特点的精品研学课程，真正把博物馆建设成为青少年教育的第二课堂。鼓励博物馆联合举办研学游活动，策划博物馆主题游径，探索开展博物馆优秀文化进商场、公交、地铁、机场等公共空间；</w:t>
      </w:r>
      <w:r>
        <w:rPr>
          <w:rFonts w:hint="eastAsia" w:ascii="仿宋_GB2312" w:hAnsi="仿宋_GB2312" w:eastAsia="仿宋_GB2312" w:cs="仿宋_GB2312"/>
          <w:b/>
          <w:bCs/>
          <w:sz w:val="32"/>
          <w:szCs w:val="32"/>
        </w:rPr>
        <w:t>九是开展博物馆孵化培育，</w:t>
      </w:r>
      <w:r>
        <w:rPr>
          <w:rFonts w:hint="eastAsia" w:ascii="仿宋_GB2312" w:hAnsi="仿宋_GB2312" w:eastAsia="仿宋_GB2312" w:cs="仿宋_GB2312"/>
          <w:sz w:val="32"/>
          <w:szCs w:val="32"/>
        </w:rPr>
        <w:t>将具有部分博物馆功能、但尚未达到登记备案条件的社会机构，纳入行业指导范畴，为其提供政策引导、业务指导、对口帮扶、专业培训等培育措施，做好孵化培育。</w:t>
      </w:r>
    </w:p>
    <w:p>
      <w:pPr>
        <w:pStyle w:val="2"/>
        <w:spacing w:before="156"/>
        <w:ind w:firstLine="640"/>
        <w:rPr>
          <w:rFonts w:ascii="黑体" w:hAnsi="黑体" w:eastAsia="黑体" w:cs="黑体"/>
          <w:b w:val="0"/>
          <w:bCs w:val="0"/>
          <w:sz w:val="32"/>
        </w:rPr>
      </w:pPr>
      <w:r>
        <w:rPr>
          <w:rFonts w:hint="eastAsia" w:ascii="黑体" w:hAnsi="黑体" w:eastAsia="黑体" w:cs="黑体"/>
          <w:b w:val="0"/>
          <w:bCs w:val="0"/>
          <w:sz w:val="32"/>
        </w:rPr>
        <w:t>三、拟制定的保障机制</w:t>
      </w:r>
    </w:p>
    <w:p>
      <w:pPr>
        <w:spacing w:line="560" w:lineRule="exact"/>
        <w:ind w:firstLine="420" w:firstLineChars="200"/>
        <w:rPr>
          <w:rFonts w:ascii="仿宋_GB2312" w:hAnsi="仿宋_GB2312" w:eastAsia="仿宋_GB2312" w:cs="仿宋_GB2312"/>
          <w:sz w:val="32"/>
          <w:szCs w:val="32"/>
        </w:rPr>
      </w:pPr>
      <w:r>
        <w:t xml:space="preserve">  </w:t>
      </w:r>
      <w:r>
        <w:rPr>
          <w:rFonts w:hint="eastAsia" w:ascii="楷体" w:hAnsi="楷体" w:eastAsia="楷体" w:cs="楷体"/>
          <w:kern w:val="0"/>
          <w:sz w:val="32"/>
          <w:szCs w:val="32"/>
        </w:rPr>
        <w:t>（一）健全工作机制。</w:t>
      </w:r>
      <w:r>
        <w:rPr>
          <w:rFonts w:hint="eastAsia" w:ascii="仿宋_GB2312" w:hAnsi="仿宋_GB2312" w:eastAsia="仿宋_GB2312" w:cs="仿宋_GB2312"/>
          <w:sz w:val="32"/>
          <w:szCs w:val="32"/>
        </w:rPr>
        <w:t>建立由市</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主要领导、分管领导、各县市（区）</w:t>
      </w:r>
      <w:r>
        <w:rPr>
          <w:rFonts w:ascii="仿宋_GB2312" w:hAnsi="仿宋_GB2312" w:eastAsia="仿宋_GB2312" w:cs="仿宋_GB2312"/>
          <w:sz w:val="32"/>
          <w:szCs w:val="32"/>
        </w:rPr>
        <w:t>政府主要领导</w:t>
      </w:r>
      <w:r>
        <w:rPr>
          <w:rFonts w:hint="eastAsia" w:ascii="仿宋_GB2312" w:hAnsi="仿宋_GB2312" w:eastAsia="仿宋_GB2312" w:cs="仿宋_GB2312"/>
          <w:sz w:val="32"/>
          <w:szCs w:val="32"/>
        </w:rPr>
        <w:t>参与的协同配合工作机制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负责项目推进、统筹协调、督促落实,研究决定相关重大事项，市文物</w:t>
      </w:r>
      <w:r>
        <w:rPr>
          <w:rFonts w:ascii="仿宋_GB2312" w:hAnsi="仿宋_GB2312" w:eastAsia="仿宋_GB2312" w:cs="仿宋_GB2312"/>
          <w:sz w:val="32"/>
          <w:szCs w:val="32"/>
        </w:rPr>
        <w:t>局</w:t>
      </w:r>
      <w:r>
        <w:rPr>
          <w:rFonts w:hint="eastAsia" w:ascii="仿宋_GB2312" w:hAnsi="仿宋_GB2312" w:eastAsia="仿宋_GB2312" w:cs="仿宋_GB2312"/>
          <w:sz w:val="32"/>
          <w:szCs w:val="32"/>
        </w:rPr>
        <w:t>负责协同配合工作机制的日常事务，做好协调、推进工作。成立由历史文化、文博考古、策划陈展等专家组成的专家咨询小组,对博物馆建设方面提供咨询建议。</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（二）压实主体责任。</w:t>
      </w:r>
      <w:r>
        <w:rPr>
          <w:rFonts w:hint="eastAsia" w:ascii="仿宋_GB2312" w:hAnsi="仿宋_GB2312" w:eastAsia="仿宋_GB2312" w:cs="仿宋_GB2312"/>
          <w:sz w:val="32"/>
          <w:szCs w:val="32"/>
        </w:rPr>
        <w:t>把博物馆建设列入各县市 (区)年度目标考核，各县市（区）要建设与人口相匹配的博物馆。各县（市）采取“1+2+N”的建设方式，即各县（市）必须建设1家综合性博物馆，2家专题（特色）博物馆，N家非国有博物馆。市内各区及四个开发区以“2+N”为主，即必须建设2家专题（特色）博物馆，N家非国有博物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（三）加强政策支持。</w:t>
      </w:r>
      <w:r>
        <w:rPr>
          <w:rFonts w:hint="eastAsia" w:ascii="仿宋_GB2312" w:hAnsi="仿宋_GB2312" w:eastAsia="仿宋_GB2312" w:cs="仿宋_GB2312"/>
          <w:sz w:val="32"/>
          <w:szCs w:val="32"/>
        </w:rPr>
        <w:t>加大对博物馆的资金投入和政策扶持，鼓励博物馆通过设立基金、接受社会捐赠等多途径筹措资金，营造社会力量参与博物馆建设的良好环境。自然资源和规划部门要加大对博物馆用地的规划、调增和手续办理支持。继续支持采取“遗址公园+博物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“工业遗址+博物馆”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“文保单位+博物馆”等模式建设博物馆。</w:t>
      </w:r>
    </w:p>
    <w:p>
      <w:pPr>
        <w:snapToGrid w:val="0"/>
        <w:spacing w:line="560" w:lineRule="exact"/>
        <w:ind w:firstLine="640" w:firstLineChars="200"/>
        <w:rPr>
          <w:rFonts w:ascii="仿宋_GB2312" w:hAnsi="仿宋_GB2312" w:eastAsia="仿宋_GB2312" w:cs="仿宋_GB2312"/>
          <w:sz w:val="32"/>
          <w:szCs w:val="40"/>
        </w:rPr>
      </w:pPr>
      <w:r>
        <w:rPr>
          <w:rFonts w:hint="eastAsia" w:ascii="楷体" w:hAnsi="楷体" w:eastAsia="楷体" w:cs="楷体"/>
          <w:kern w:val="0"/>
          <w:sz w:val="32"/>
          <w:szCs w:val="32"/>
        </w:rPr>
        <w:t>（四）加强人才建设。</w:t>
      </w:r>
      <w:r>
        <w:rPr>
          <w:rFonts w:hint="eastAsia" w:ascii="仿宋_GB2312" w:hAnsi="仿宋_GB2312" w:eastAsia="仿宋_GB2312" w:cs="仿宋_GB2312"/>
          <w:sz w:val="32"/>
          <w:szCs w:val="40"/>
        </w:rPr>
        <w:t>加强博物馆专业人才的培养和引进力度，积极引进一批博物馆经营管理、藏品修复、展览策划设计、研学课程开发、文创创意开发等中高级专业人才和复合型人才，依托高等院校、科研院所和文博机构，培养造就一批博物馆行业急需的高级专门人才和技术骨干，发挥国有博物馆的人才、技术优势，帮扶指导非国有博物馆建设。</w:t>
      </w:r>
    </w:p>
    <w:p>
      <w:pPr>
        <w:rPr>
          <w:rFonts w:ascii="仿宋_GB2312" w:hAnsi="仿宋_GB2312" w:eastAsia="仿宋_GB2312" w:cs="仿宋_GB2312"/>
          <w:sz w:val="32"/>
          <w:szCs w:val="40"/>
        </w:rPr>
      </w:pPr>
    </w:p>
    <w:p>
      <w:pPr>
        <w:spacing w:line="560" w:lineRule="exact"/>
        <w:rPr>
          <w:rFonts w:hint="eastAsia" w:ascii="楷体" w:hAnsi="楷体" w:eastAsia="楷体" w:cs="楷体"/>
          <w:sz w:val="32"/>
          <w:szCs w:val="32"/>
        </w:rPr>
      </w:pPr>
    </w:p>
    <w:sectPr>
      <w:footerReference r:id="rId3" w:type="default"/>
      <w:pgSz w:w="11906" w:h="16838"/>
      <w:pgMar w:top="1723" w:right="1576" w:bottom="1723" w:left="157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汉仪青云简">
    <w:panose1 w:val="00020600040101010101"/>
    <w:charset w:val="86"/>
    <w:family w:val="auto"/>
    <w:pitch w:val="default"/>
    <w:sig w:usb0="8000001F" w:usb1="1A0F781A" w:usb2="00000016" w:usb3="00000000" w:csb0="0004009F" w:csb1="DFD70000"/>
  </w:font>
  <w:font w:name="书体坊米芾体">
    <w:panose1 w:val="02010601030101010101"/>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- 1 -</w:t>
                </w:r>
                <w:r>
                  <w:rPr>
                    <w:rFonts w:hint="eastAsia" w:ascii="宋体" w:hAnsi="宋体" w:cs="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wYmExOGU0N2I4Yjc3YmNmNDEyYTQ3OWM2NjAyZjMifQ=="/>
  </w:docVars>
  <w:rsids>
    <w:rsidRoot w:val="004A69BC"/>
    <w:rsid w:val="004A69BC"/>
    <w:rsid w:val="009772FD"/>
    <w:rsid w:val="00CE119D"/>
    <w:rsid w:val="262D66A1"/>
    <w:rsid w:val="30E27652"/>
    <w:rsid w:val="333155B9"/>
    <w:rsid w:val="3EAB0813"/>
    <w:rsid w:val="40C03A3D"/>
    <w:rsid w:val="42786A9F"/>
    <w:rsid w:val="4D2168BF"/>
    <w:rsid w:val="68074262"/>
    <w:rsid w:val="AFFF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
    <w:pPr>
      <w:keepNext/>
      <w:keepLines/>
      <w:spacing w:beforeLines="50"/>
      <w:ind w:firstLine="200" w:firstLineChars="200"/>
      <w:outlineLvl w:val="1"/>
    </w:pPr>
    <w:rPr>
      <w:rFonts w:ascii="Calibri Light" w:hAnsi="Calibri Light" w:eastAsia="楷体"/>
      <w:b/>
      <w:bCs/>
      <w:szCs w:val="32"/>
    </w:rPr>
  </w:style>
  <w:style w:type="character" w:default="1" w:styleId="6">
    <w:name w:val="Default Paragraph Font"/>
    <w:semiHidden/>
    <w:uiPriority w:val="0"/>
  </w:style>
  <w:style w:type="table" w:default="1" w:styleId="5">
    <w:name w:val="Normal Table"/>
    <w:semiHidden/>
    <w:uiPriority w:val="0"/>
    <w:rPr>
      <w:rFonts w:ascii="Times New Roman" w:hAnsi="Times New Roman" w:cs="Times New Roman"/>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标题 2 Char"/>
    <w:basedOn w:val="6"/>
    <w:link w:val="2"/>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390</Words>
  <Characters>2223</Characters>
  <Lines>18</Lines>
  <Paragraphs>5</Paragraphs>
  <TotalTime>0</TotalTime>
  <ScaleCrop>false</ScaleCrop>
  <LinksUpToDate>false</LinksUpToDate>
  <CharactersWithSpaces>2608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2023-12-16T02:59:00Z</dcterms:created>
  <dc:creator>Administrator</dc:creator>
  <cp:lastModifiedBy>李生刚（聽雨軒）</cp:lastModifiedBy>
  <dcterms:modified xsi:type="dcterms:W3CDTF">2023-12-18T00:46:00Z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B4D8FDB72D904742AF395CC23B053D9B_12</vt:lpwstr>
  </property>
</Properties>
</file>